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D2F" w:rsidRDefault="00177D2F" w:rsidP="00177D2F">
      <w:pPr>
        <w:jc w:val="both"/>
        <w:rPr>
          <w:rFonts w:ascii="Arial" w:hAnsi="Arial" w:cs="Arial"/>
          <w:b/>
        </w:rPr>
      </w:pPr>
      <w:r w:rsidRPr="00812A1C">
        <w:rPr>
          <w:rFonts w:ascii="Arial" w:hAnsi="Arial" w:cs="Arial"/>
          <w:b/>
        </w:rPr>
        <w:t>UNIDAD DE SERVICIOS COMPLEMENTARIOS</w:t>
      </w:r>
    </w:p>
    <w:p w:rsidR="00177D2F" w:rsidRPr="00812A1C" w:rsidRDefault="00177D2F" w:rsidP="00177D2F">
      <w:pPr>
        <w:jc w:val="both"/>
        <w:rPr>
          <w:rFonts w:ascii="Arial" w:hAnsi="Arial" w:cs="Arial"/>
        </w:rPr>
      </w:pPr>
    </w:p>
    <w:p w:rsidR="00177D2F" w:rsidRPr="00812A1C" w:rsidRDefault="00177D2F" w:rsidP="00177D2F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Gestionar los ingresos por el uso de la infraestructura, y los laboratorios de la Unidad Estratégica de Negocios de Energía.</w:t>
      </w:r>
    </w:p>
    <w:p w:rsidR="00177D2F" w:rsidRPr="00812A1C" w:rsidRDefault="00177D2F" w:rsidP="00177D2F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Administrar el sistema de información del uso de infraestructura del Sistema Eléctrico de Energía, registrando las actividades realizadas y consignando el estado de los postes y ductos usados por terceros. </w:t>
      </w:r>
    </w:p>
    <w:p w:rsidR="00177D2F" w:rsidRPr="00812A1C" w:rsidRDefault="00177D2F" w:rsidP="00177D2F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Gestionar, supervisar y controlar contratos de uso de infraestructura del Sistema Eléctrico de Energía por terceros.</w:t>
      </w:r>
    </w:p>
    <w:p w:rsidR="00177D2F" w:rsidRPr="00812A1C" w:rsidRDefault="00177D2F" w:rsidP="00177D2F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Prestar servicios de ensayo y calibración de medidores de energía eléctrica, transformadores de medida de tensión, transformadores de medida de corriente, transformadores de potencia y de distribución y calibración de instrumentos de medición para la Empresa y clientes externos.</w:t>
      </w:r>
    </w:p>
    <w:p w:rsidR="00177D2F" w:rsidRPr="00812A1C" w:rsidRDefault="00177D2F" w:rsidP="00177D2F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Gestionar con las diferentes áreas de la Empresa, las actividades requeridas dentro del sistema de gestión ISO/IEC17025 de los laboratorios, con el fin de mantener las correspondientes acreditaciones.</w:t>
      </w:r>
    </w:p>
    <w:p w:rsidR="00177D2F" w:rsidRPr="00812A1C" w:rsidRDefault="00177D2F" w:rsidP="00177D2F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Prestar servicios de ensayos fisicoquímicos y cromatografía de gases disueltos a aceites dieléctricos para la Empresa y clientes externos.</w:t>
      </w:r>
    </w:p>
    <w:p w:rsidR="00177D2F" w:rsidRPr="00812A1C" w:rsidRDefault="00177D2F" w:rsidP="00177D2F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Realizar ensayos de propiedades dieléctricas a elementos utilizados para la protección en redes eléctricas energizadas para la Empresa y clientes externos.</w:t>
      </w:r>
    </w:p>
    <w:p w:rsidR="00177D2F" w:rsidRPr="00812A1C" w:rsidRDefault="00177D2F" w:rsidP="00177D2F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Prestar el servicio de parametrización y verificación de las interfaces para la tele medida de los medidores de energía multifunción.</w:t>
      </w:r>
    </w:p>
    <w:p w:rsidR="00177D2F" w:rsidRPr="00812A1C" w:rsidRDefault="00177D2F" w:rsidP="00177D2F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Cumplir con los requisitos del Organismo Nacional de Acreditación de Colombia, para obtener y mantener la acreditación de los laboratorios de ensayos y de calibración del Negocio de Energía.</w:t>
      </w:r>
    </w:p>
    <w:p w:rsidR="00177D2F" w:rsidRPr="00812A1C" w:rsidRDefault="00177D2F" w:rsidP="00177D2F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lang w:val="es-CO" w:eastAsia="es-ES_tradnl"/>
        </w:rPr>
      </w:pPr>
      <w:r w:rsidRPr="00812A1C">
        <w:rPr>
          <w:rFonts w:ascii="Arial" w:hAnsi="Arial" w:cs="Arial"/>
          <w:lang w:val="es-CO" w:eastAsia="es-ES_tradnl"/>
        </w:rPr>
        <w:t xml:space="preserve">Las demás que le sean asignadas por las normas legales, estatutarias, reglamentarias, así </w:t>
      </w:r>
      <w:proofErr w:type="gramStart"/>
      <w:r w:rsidRPr="00812A1C">
        <w:rPr>
          <w:rFonts w:ascii="Arial" w:hAnsi="Arial" w:cs="Arial"/>
          <w:lang w:val="es-CO" w:eastAsia="es-ES_tradnl"/>
        </w:rPr>
        <w:t>como  las</w:t>
      </w:r>
      <w:proofErr w:type="gramEnd"/>
      <w:r w:rsidRPr="00812A1C">
        <w:rPr>
          <w:rFonts w:ascii="Arial" w:hAnsi="Arial" w:cs="Arial"/>
          <w:lang w:val="es-CO" w:eastAsia="es-ES_tradnl"/>
        </w:rPr>
        <w:t xml:space="preserve">  responsabilidades comunes a todas las dependencias de EMCALI E.C.E. E.S.P. definidas  en la presente resolución que estén de acuerdo con  su naturaleza.</w:t>
      </w:r>
    </w:p>
    <w:p w:rsidR="000D7FB6" w:rsidRPr="00177D2F" w:rsidRDefault="000D7FB6">
      <w:pPr>
        <w:rPr>
          <w:lang w:val="es-CO"/>
        </w:rPr>
      </w:pPr>
      <w:bookmarkStart w:id="0" w:name="_GoBack"/>
      <w:bookmarkEnd w:id="0"/>
    </w:p>
    <w:sectPr w:rsidR="000D7FB6" w:rsidRPr="00177D2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B35CAD"/>
    <w:multiLevelType w:val="hybridMultilevel"/>
    <w:tmpl w:val="F04891AC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D2F"/>
    <w:rsid w:val="000D7FB6"/>
    <w:rsid w:val="0017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FF301E-DF47-445B-B178-BAFAA21C1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7D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177D2F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177D2F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2021-02-10T01:26:00Z</dcterms:created>
  <dcterms:modified xsi:type="dcterms:W3CDTF">2021-02-10T01:26:00Z</dcterms:modified>
</cp:coreProperties>
</file>