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64" w:rsidRDefault="004D1D64" w:rsidP="004D1D64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TÉCNICA</w:t>
      </w:r>
    </w:p>
    <w:p w:rsidR="004D1D64" w:rsidRPr="00812A1C" w:rsidRDefault="004D1D64" w:rsidP="004D1D64">
      <w:pPr>
        <w:jc w:val="both"/>
        <w:rPr>
          <w:rFonts w:ascii="Arial" w:hAnsi="Arial" w:cs="Arial"/>
        </w:rPr>
      </w:pPr>
    </w:p>
    <w:p w:rsidR="004D1D64" w:rsidRPr="00812A1C" w:rsidRDefault="004D1D64" w:rsidP="004D1D64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Direccionar la formulación, seguimiento y evaluación de la estrategia del Negocio de </w:t>
      </w:r>
      <w:r w:rsidRPr="00812A1C">
        <w:rPr>
          <w:rFonts w:ascii="Arial" w:hAnsi="Arial" w:cs="Arial"/>
        </w:rPr>
        <w:t>Energía</w:t>
      </w:r>
      <w:r w:rsidRPr="00812A1C">
        <w:rPr>
          <w:rFonts w:ascii="Arial" w:hAnsi="Arial" w:cs="Arial"/>
          <w:iCs/>
        </w:rPr>
        <w:t>, que determinen ventajas competitivas que contribuyan a alcanzar los objetivos de corto, mediano y largo plazo propuestos por la alta gerencia</w:t>
      </w:r>
      <w:r w:rsidRPr="00812A1C">
        <w:rPr>
          <w:rFonts w:ascii="Arial" w:hAnsi="Arial" w:cs="Arial"/>
        </w:rPr>
        <w:t xml:space="preserve">. 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Dirigir y gestionar de manera efectiva la aplicación de la regulación del sector de energía en la Unidad Estratégica de Negocio de Energía. 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Dirigir la estructuración y desarrollo de </w:t>
      </w:r>
      <w:proofErr w:type="gramStart"/>
      <w:r w:rsidRPr="00812A1C">
        <w:rPr>
          <w:rFonts w:ascii="Arial" w:hAnsi="Arial" w:cs="Arial"/>
        </w:rPr>
        <w:t>los  proyectos</w:t>
      </w:r>
      <w:proofErr w:type="gramEnd"/>
      <w:r w:rsidRPr="00812A1C">
        <w:rPr>
          <w:rFonts w:ascii="Arial" w:hAnsi="Arial" w:cs="Arial"/>
        </w:rPr>
        <w:t xml:space="preserve"> estratégicos de innovación y alta tensión de la Unidad Estratégica de Negocios y realizar el control y seguimiento de la ejecución de acuerdo con la metodología definida por la Empresa y/o la CREG.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Dirigir los proyectos de infraestructura Media Tensión del Sistema Eléctrico de Energía de la Empresa y realizar su evaluación y control.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Realizar el análisis y seguimiento financiero a la Unidad Estratégica de Negocio de Energía, proponer correctivos y </w:t>
      </w:r>
      <w:r w:rsidRPr="00812A1C">
        <w:rPr>
          <w:rFonts w:ascii="Arial" w:hAnsi="Arial" w:cs="Arial"/>
        </w:rPr>
        <w:t>recomendar acciones e iniciativas que contribuyan al mejoramiento de las finanzas de la Unidad Estratégica de Negocio.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iCs/>
          <w:color w:val="FF0000"/>
        </w:rPr>
      </w:pPr>
      <w:r w:rsidRPr="00812A1C">
        <w:rPr>
          <w:rFonts w:ascii="Arial" w:hAnsi="Arial" w:cs="Arial"/>
          <w:iCs/>
        </w:rPr>
        <w:t>Dirigir y gestionar la formulación y aplicación de las estructuras tarifarias de los Mercados Regulado y No Regulado y mantener base de datos actualizada</w:t>
      </w:r>
      <w:r w:rsidRPr="00812A1C">
        <w:rPr>
          <w:rFonts w:ascii="Arial" w:hAnsi="Arial" w:cs="Arial"/>
          <w:iCs/>
          <w:color w:val="FF0000"/>
        </w:rPr>
        <w:t>.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Analizar permanentemente el entorno regulatorio sectorial, las normas correspondientes y sus tendencias, así como velar por el cumplimiento de la de regulación y tarifas, inversiones y mandatos legales aplicables a la Unidad Estratégica de Negocio </w:t>
      </w:r>
      <w:proofErr w:type="gramStart"/>
      <w:r w:rsidRPr="00812A1C">
        <w:rPr>
          <w:rFonts w:ascii="Arial" w:hAnsi="Arial" w:cs="Arial"/>
        </w:rPr>
        <w:t>de  Energía</w:t>
      </w:r>
      <w:proofErr w:type="gramEnd"/>
      <w:r w:rsidRPr="00812A1C">
        <w:rPr>
          <w:rFonts w:ascii="Arial" w:hAnsi="Arial" w:cs="Arial"/>
        </w:rPr>
        <w:t>.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>Calcular y trasladar los recursos financieros al Ministerio de Minas y Energía resultantes de superávit trimestral (si lo hay) dentro de los plazos regulatorios establecidos, incluyendo intereses moratorios si hay lugar.</w:t>
      </w:r>
    </w:p>
    <w:p w:rsidR="004D1D64" w:rsidRPr="00812A1C" w:rsidRDefault="004D1D64" w:rsidP="004D1D6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Promover, implementar y mantener el sistema de gestión de la calidad (SGC) en la Gerencia Unidad Estratégica de Negocios Energía </w:t>
      </w:r>
    </w:p>
    <w:p w:rsidR="004D1D64" w:rsidRPr="00812A1C" w:rsidRDefault="004D1D64" w:rsidP="004D1D64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4D1D64" w:rsidRDefault="000D7FB6" w:rsidP="004D1D64">
      <w:pPr>
        <w:rPr>
          <w:lang w:val="es-CO"/>
        </w:rPr>
      </w:pPr>
      <w:bookmarkStart w:id="0" w:name="_GoBack"/>
      <w:bookmarkEnd w:id="0"/>
    </w:p>
    <w:sectPr w:rsidR="000D7FB6" w:rsidRPr="004D1D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9341D"/>
    <w:multiLevelType w:val="hybridMultilevel"/>
    <w:tmpl w:val="4FF84536"/>
    <w:lvl w:ilvl="0" w:tplc="7F58ED5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64"/>
    <w:rsid w:val="000D7FB6"/>
    <w:rsid w:val="004D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981D2-C3A2-47F0-95BE-3B1959D2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4D1D64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4D1D64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2021-02-10T01:11:00Z</dcterms:created>
  <dcterms:modified xsi:type="dcterms:W3CDTF">2021-02-10T01:12:00Z</dcterms:modified>
</cp:coreProperties>
</file>