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F11" w:rsidRDefault="00FC5F11" w:rsidP="00FC5F11">
      <w:pPr>
        <w:jc w:val="both"/>
        <w:rPr>
          <w:rFonts w:ascii="Arial" w:hAnsi="Arial" w:cs="Arial"/>
          <w:b/>
        </w:rPr>
      </w:pPr>
      <w:bookmarkStart w:id="0" w:name="_GoBack"/>
      <w:r w:rsidRPr="00812A1C">
        <w:rPr>
          <w:rFonts w:ascii="Arial" w:hAnsi="Arial" w:cs="Arial"/>
          <w:b/>
        </w:rPr>
        <w:t>UNIDAD DE ALUMBRADO PÚBLICO</w:t>
      </w:r>
    </w:p>
    <w:bookmarkEnd w:id="0"/>
    <w:p w:rsidR="00FC5F11" w:rsidRPr="00812A1C" w:rsidRDefault="00FC5F11" w:rsidP="00FC5F11">
      <w:pPr>
        <w:jc w:val="both"/>
        <w:rPr>
          <w:rFonts w:ascii="Arial" w:hAnsi="Arial" w:cs="Arial"/>
        </w:rPr>
      </w:pPr>
    </w:p>
    <w:p w:rsidR="00FC5F11" w:rsidRPr="00812A1C" w:rsidRDefault="00FC5F11" w:rsidP="00FC5F1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Adoptar los lineamientos y estrategias de la Unidad Estratégica de Negocios de Energía para prestación del servicio de Alumbrado Público en los Municipios con los que se tenga convenios o contratos.</w:t>
      </w:r>
    </w:p>
    <w:p w:rsidR="00FC5F11" w:rsidRPr="00812A1C" w:rsidRDefault="00FC5F11" w:rsidP="00FC5F1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Planificar y gestionar las obligaciones contractuales referentes a las actividades de administración, operación, mantenimiento, mejora y expansión del Sistema de Alumbrado Público en los Municipios con los que se tenga convenios o contratos.</w:t>
      </w:r>
    </w:p>
    <w:p w:rsidR="00FC5F11" w:rsidRPr="00812A1C" w:rsidRDefault="00FC5F11" w:rsidP="00FC5F1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Gestionar y realizar seguimiento y control a los contratos para la prestación del Servicio de Alumbrado Público en los Municipios con los que se tenga convenios o contratos.</w:t>
      </w:r>
    </w:p>
    <w:p w:rsidR="00FC5F11" w:rsidRPr="00812A1C" w:rsidRDefault="00FC5F11" w:rsidP="00FC5F1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Gestionar la incorporación y actualización de las normas técnicas de la Empresa, en todo lo relacionado con los aspectos técnicos del Sistema de Alumbrado Público incluyendo la revisión y aprobación de los proyectos.</w:t>
      </w:r>
    </w:p>
    <w:p w:rsidR="00FC5F11" w:rsidRPr="00812A1C" w:rsidRDefault="00FC5F11" w:rsidP="00FC5F1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la planificación, direccionamiento, evaluación y mejoramiento de la Gestión Técnica relacionada con la prestación del servicio de Alumbrado Público de acuerdo con las exigencias del Reglamento Técnico de Alumbrado Público y las obligaciones contractuales.</w:t>
      </w:r>
    </w:p>
    <w:p w:rsidR="00FC5F11" w:rsidRPr="00812A1C" w:rsidRDefault="00FC5F11" w:rsidP="00FC5F1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Coordinar las actividades del operador del alumbrado público, en cuanto al mantenimiento preventivo y correctivo, atención de solicitudes y PQR, verificación o ajuste de los niveles lumínicos, entre otros.</w:t>
      </w:r>
    </w:p>
    <w:p w:rsidR="00FC5F11" w:rsidRPr="00812A1C" w:rsidRDefault="00FC5F11" w:rsidP="00FC5F1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la liquidación del consumo de energía, de acuerdo con lo establecido en el marco regulatorio y contractual.</w:t>
      </w:r>
    </w:p>
    <w:p w:rsidR="00FC5F11" w:rsidRPr="00812A1C" w:rsidRDefault="00FC5F11" w:rsidP="00FC5F1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Gestionar los reportes y reposición de la infraestructura hurtada del Sistema de Alumbrado Público.</w:t>
      </w:r>
    </w:p>
    <w:p w:rsidR="00FC5F11" w:rsidRPr="00812A1C" w:rsidRDefault="00FC5F11" w:rsidP="00FC5F1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Gestionar y supervisar los permisos, conceptos, concesiones, planes de manejo y otros requerimientos ambientales relacionados con la prestación del servicio de Alumbrado Público.</w:t>
      </w:r>
    </w:p>
    <w:p w:rsidR="00FC5F11" w:rsidRPr="00812A1C" w:rsidRDefault="00FC5F11" w:rsidP="00FC5F11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Pr="00FC5F11" w:rsidRDefault="000D7FB6" w:rsidP="00FC5F11">
      <w:pPr>
        <w:rPr>
          <w:lang w:val="es-CO"/>
        </w:rPr>
      </w:pPr>
    </w:p>
    <w:sectPr w:rsidR="000D7FB6" w:rsidRPr="00FC5F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9057F"/>
    <w:multiLevelType w:val="hybridMultilevel"/>
    <w:tmpl w:val="0582D046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F11"/>
    <w:rsid w:val="000D7FB6"/>
    <w:rsid w:val="003A04DA"/>
    <w:rsid w:val="00FC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A5F6EB-53BD-473F-A11F-B9D525CDC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F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FC5F11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FC5F11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2</cp:revision>
  <dcterms:created xsi:type="dcterms:W3CDTF">2021-02-10T01:23:00Z</dcterms:created>
  <dcterms:modified xsi:type="dcterms:W3CDTF">2021-02-10T01:23:00Z</dcterms:modified>
</cp:coreProperties>
</file>