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6F" w:rsidRDefault="00CE5478">
      <w:pPr>
        <w:spacing w:after="0" w:line="240" w:lineRule="auto"/>
        <w:jc w:val="both"/>
        <w:rPr>
          <w:rFonts w:ascii="Arial Narrow" w:hAnsi="Arial Narrow" w:cs="Arial"/>
          <w:b/>
          <w:sz w:val="24"/>
          <w:szCs w:val="24"/>
          <w:highlight w:val="yellow"/>
        </w:rPr>
      </w:pPr>
      <w:r>
        <w:rPr>
          <w:rFonts w:ascii="Arial Narrow" w:hAnsi="Arial Narrow" w:cs="Arial"/>
          <w:b/>
          <w:sz w:val="24"/>
          <w:szCs w:val="24"/>
          <w:highlight w:val="yellow"/>
        </w:rPr>
        <w:t>EMCALI – GERENCIA GENERAL - DIRECCIÓN DE CONTROL INTERNO –DCI</w:t>
      </w:r>
    </w:p>
    <w:p w:rsidR="007A4E6F" w:rsidRDefault="007A4E6F">
      <w:pPr>
        <w:spacing w:after="0" w:line="240" w:lineRule="auto"/>
        <w:jc w:val="both"/>
        <w:rPr>
          <w:rFonts w:ascii="Arial Narrow" w:hAnsi="Arial Narrow" w:cs="Arial"/>
          <w:b/>
          <w:sz w:val="24"/>
          <w:szCs w:val="24"/>
          <w:highlight w:val="yellow"/>
        </w:rPr>
      </w:pPr>
    </w:p>
    <w:p w:rsidR="007A4E6F" w:rsidRDefault="00CE5478">
      <w:pPr>
        <w:spacing w:after="0" w:line="240" w:lineRule="auto"/>
        <w:jc w:val="both"/>
        <w:rPr>
          <w:rFonts w:ascii="Arial Narrow" w:hAnsi="Arial Narrow" w:cs="Arial"/>
          <w:b/>
          <w:sz w:val="24"/>
          <w:szCs w:val="24"/>
        </w:rPr>
      </w:pPr>
      <w:r>
        <w:rPr>
          <w:rFonts w:ascii="Arial Narrow" w:hAnsi="Arial Narrow" w:cs="Arial"/>
          <w:b/>
          <w:sz w:val="24"/>
          <w:szCs w:val="24"/>
          <w:highlight w:val="yellow"/>
        </w:rPr>
        <w:t>EVALUACIÓN INDEPENDIENTE DEL SISTEMA DE CONTROL INTERNO –MECI</w:t>
      </w:r>
    </w:p>
    <w:p w:rsidR="007A4E6F" w:rsidRDefault="007A4E6F">
      <w:pPr>
        <w:spacing w:after="0" w:line="240" w:lineRule="auto"/>
        <w:jc w:val="both"/>
        <w:rPr>
          <w:rFonts w:ascii="Arial Narrow" w:hAnsi="Arial Narrow" w:cs="Arial"/>
          <w:b/>
          <w:sz w:val="24"/>
          <w:szCs w:val="24"/>
        </w:rPr>
      </w:pPr>
    </w:p>
    <w:p w:rsidR="007A4E6F" w:rsidRDefault="00CE5478">
      <w:pPr>
        <w:spacing w:after="0" w:line="240" w:lineRule="auto"/>
        <w:jc w:val="both"/>
        <w:rPr>
          <w:rFonts w:ascii="Arial Narrow" w:hAnsi="Arial Narrow" w:cs="Arial"/>
          <w:b/>
          <w:sz w:val="24"/>
          <w:szCs w:val="24"/>
          <w:highlight w:val="yellow"/>
        </w:rPr>
      </w:pPr>
      <w:r>
        <w:rPr>
          <w:rFonts w:ascii="Arial Narrow" w:hAnsi="Arial Narrow" w:cs="Arial"/>
          <w:b/>
          <w:sz w:val="24"/>
          <w:szCs w:val="24"/>
          <w:highlight w:val="yellow"/>
        </w:rPr>
        <w:t>PRIMER SEMESTRE 2024</w:t>
      </w:r>
    </w:p>
    <w:p w:rsidR="007A4E6F" w:rsidRDefault="007A4E6F">
      <w:pPr>
        <w:spacing w:after="0" w:line="240" w:lineRule="auto"/>
        <w:jc w:val="both"/>
        <w:rPr>
          <w:rFonts w:ascii="Arial Narrow" w:hAnsi="Arial Narrow" w:cs="Arial"/>
          <w:b/>
          <w:sz w:val="24"/>
          <w:szCs w:val="24"/>
          <w:highlight w:val="yellow"/>
        </w:rPr>
      </w:pPr>
    </w:p>
    <w:p w:rsidR="007A4E6F" w:rsidRDefault="00CE5478">
      <w:pPr>
        <w:spacing w:after="0" w:line="240" w:lineRule="auto"/>
        <w:jc w:val="both"/>
        <w:rPr>
          <w:rFonts w:ascii="Arial Narrow" w:hAnsi="Arial Narrow" w:cs="Arial"/>
          <w:b/>
          <w:sz w:val="24"/>
          <w:szCs w:val="24"/>
        </w:rPr>
      </w:pPr>
      <w:r>
        <w:rPr>
          <w:rFonts w:ascii="Arial Narrow" w:hAnsi="Arial Narrow" w:cs="Arial"/>
          <w:b/>
          <w:sz w:val="24"/>
          <w:szCs w:val="24"/>
          <w:highlight w:val="yellow"/>
        </w:rPr>
        <w:t>Realiza: Jairo Millán Grajales, Profesional I de la DCI</w:t>
      </w:r>
      <w:r>
        <w:rPr>
          <w:rFonts w:ascii="Arial Narrow" w:hAnsi="Arial Narrow" w:cs="Arial"/>
          <w:b/>
          <w:sz w:val="24"/>
          <w:szCs w:val="24"/>
        </w:rPr>
        <w:t xml:space="preserve">, </w:t>
      </w:r>
      <w:r>
        <w:rPr>
          <w:rFonts w:ascii="Arial Narrow" w:hAnsi="Arial Narrow" w:cs="Arial"/>
          <w:b/>
          <w:sz w:val="24"/>
          <w:szCs w:val="24"/>
          <w:highlight w:val="yellow"/>
        </w:rPr>
        <w:t>EMCALI EICE ESP.</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La evaluación independiente del Estado del Sistema de Control Interno – MECI - en la organización Empresas Municipales de Cali, EMCALI EICE ESP., (primer semestre del 2024), de acuerdo con el aplicativo virtual del Departamento Administrativo de la Función</w:t>
      </w:r>
      <w:r>
        <w:rPr>
          <w:rFonts w:ascii="Arial Narrow" w:hAnsi="Arial Narrow" w:cs="Arial"/>
          <w:sz w:val="24"/>
          <w:szCs w:val="24"/>
        </w:rPr>
        <w:t xml:space="preserve"> Pública –DAFP y lo estipulado en el decreto 2106 de 2019 en su art. 156, </w:t>
      </w:r>
      <w:r>
        <w:rPr>
          <w:rFonts w:ascii="Arial Narrow" w:hAnsi="Arial Narrow" w:cs="Arial"/>
          <w:b/>
          <w:sz w:val="24"/>
          <w:szCs w:val="24"/>
        </w:rPr>
        <w:t>arrojó una calificación para el Estado del Sistema de Control Interno del 87,54%</w:t>
      </w:r>
      <w:r>
        <w:rPr>
          <w:rFonts w:ascii="Arial Narrow" w:hAnsi="Arial Narrow" w:cs="Arial"/>
          <w:sz w:val="24"/>
          <w:szCs w:val="24"/>
        </w:rPr>
        <w:t>, en la cual, los 81 lineamientos estructurados en los cinco componentes del Modelo Estándar de Contro</w:t>
      </w:r>
      <w:r>
        <w:rPr>
          <w:rFonts w:ascii="Arial Narrow" w:hAnsi="Arial Narrow" w:cs="Arial"/>
          <w:sz w:val="24"/>
          <w:szCs w:val="24"/>
        </w:rPr>
        <w:t>l –MECI, exhibieron un nivel de desarrollo, según su presencia y funcionalidad, discriminados así:</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1. Ambiente de control (91,6%)</w:t>
      </w: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2. Evaluación de riesgos (82,3%)</w:t>
      </w: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3. Actividades de control (95,8%)</w:t>
      </w: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4. Información y comunicación (85,7%)</w:t>
      </w: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5. Actividades de Mo</w:t>
      </w:r>
      <w:r>
        <w:rPr>
          <w:rFonts w:ascii="Arial Narrow" w:hAnsi="Arial Narrow" w:cs="Arial"/>
          <w:sz w:val="24"/>
          <w:szCs w:val="24"/>
        </w:rPr>
        <w:t>nitoreo (82,1%).</w:t>
      </w:r>
    </w:p>
    <w:p w:rsidR="007A4E6F" w:rsidRDefault="007A4E6F">
      <w:pPr>
        <w:spacing w:after="0" w:line="240" w:lineRule="auto"/>
        <w:jc w:val="both"/>
        <w:rPr>
          <w:rFonts w:ascii="Arial Narrow" w:hAnsi="Arial Narrow" w:cs="Arial"/>
          <w:sz w:val="24"/>
          <w:szCs w:val="24"/>
        </w:rPr>
      </w:pPr>
    </w:p>
    <w:p w:rsidR="007A4E6F" w:rsidRDefault="00266AFB">
      <w:pPr>
        <w:spacing w:after="0" w:line="240" w:lineRule="auto"/>
        <w:jc w:val="both"/>
        <w:rPr>
          <w:rFonts w:ascii="Arial Narrow" w:hAnsi="Arial Narrow" w:cs="Arial"/>
          <w:sz w:val="24"/>
          <w:szCs w:val="24"/>
        </w:rPr>
      </w:pPr>
      <w:r w:rsidRPr="00266AFB">
        <w:rPr>
          <w:rFonts w:ascii="Arial Narrow" w:hAnsi="Arial Narrow" w:cs="Arial"/>
          <w:sz w:val="24"/>
          <w:szCs w:val="24"/>
        </w:rPr>
        <w:t xml:space="preserve">Según los resultados de los 17 lineamientos o especificaciones promedio asociadas con cada componente del modelo y preguntas indicativas (aspectos evaluados), infiere un trabajo de operación conjunta caracterizado funcionamiento en el mismo mapa de operación por procesos y de manera integrada, se describe para cada proceso, las entradas, procesos de transformación y salidas, con sus respectivas actividades y puntos de control. </w:t>
      </w:r>
      <w:r>
        <w:rPr>
          <w:rFonts w:ascii="Arial Narrow" w:hAnsi="Arial Narrow" w:cs="Arial"/>
          <w:sz w:val="24"/>
          <w:szCs w:val="24"/>
        </w:rPr>
        <w:t>Asimismo, d</w:t>
      </w:r>
      <w:r w:rsidRPr="00266AFB">
        <w:rPr>
          <w:rFonts w:ascii="Arial Narrow" w:hAnsi="Arial Narrow" w:cs="Arial"/>
          <w:sz w:val="24"/>
          <w:szCs w:val="24"/>
        </w:rPr>
        <w:t xml:space="preserve">erivado </w:t>
      </w:r>
      <w:r>
        <w:rPr>
          <w:rFonts w:ascii="Arial Narrow" w:hAnsi="Arial Narrow" w:cs="Arial"/>
          <w:sz w:val="24"/>
          <w:szCs w:val="24"/>
        </w:rPr>
        <w:t xml:space="preserve">automáticamente, </w:t>
      </w:r>
      <w:bookmarkStart w:id="0" w:name="_GoBack"/>
      <w:bookmarkEnd w:id="0"/>
      <w:r w:rsidRPr="00266AFB">
        <w:rPr>
          <w:rFonts w:ascii="Arial Narrow" w:hAnsi="Arial Narrow" w:cs="Arial"/>
          <w:sz w:val="24"/>
          <w:szCs w:val="24"/>
        </w:rPr>
        <w:t>por el aplicativo DAFP, para el primer semestre 2024</w:t>
      </w:r>
      <w:r>
        <w:rPr>
          <w:rFonts w:ascii="Arial Narrow" w:hAnsi="Arial Narrow" w:cs="Arial"/>
          <w:sz w:val="24"/>
          <w:szCs w:val="24"/>
        </w:rPr>
        <w:t xml:space="preserve">, </w:t>
      </w:r>
      <w:r w:rsidR="00B7402C">
        <w:rPr>
          <w:rFonts w:ascii="Arial Narrow" w:hAnsi="Arial Narrow" w:cs="Arial"/>
          <w:sz w:val="24"/>
          <w:szCs w:val="24"/>
        </w:rPr>
        <w:t xml:space="preserve">en relación con </w:t>
      </w:r>
      <w:r w:rsidR="00CE5478">
        <w:rPr>
          <w:rFonts w:ascii="Arial Narrow" w:hAnsi="Arial Narrow" w:cs="Arial"/>
          <w:sz w:val="24"/>
          <w:szCs w:val="24"/>
        </w:rPr>
        <w:t>la efectividad del Sistema de Control Int</w:t>
      </w:r>
      <w:r w:rsidR="00CE5478">
        <w:rPr>
          <w:rFonts w:ascii="Arial Narrow" w:hAnsi="Arial Narrow" w:cs="Arial"/>
          <w:sz w:val="24"/>
          <w:szCs w:val="24"/>
        </w:rPr>
        <w:t xml:space="preserve">erno, </w:t>
      </w:r>
      <w:r w:rsidR="00B7402C">
        <w:rPr>
          <w:rFonts w:ascii="Arial Narrow" w:hAnsi="Arial Narrow" w:cs="Arial"/>
          <w:sz w:val="24"/>
          <w:szCs w:val="24"/>
        </w:rPr>
        <w:t xml:space="preserve">se concluye </w:t>
      </w:r>
      <w:r w:rsidR="00CE5478">
        <w:rPr>
          <w:rFonts w:ascii="Arial Narrow" w:hAnsi="Arial Narrow" w:cs="Arial"/>
          <w:sz w:val="24"/>
          <w:szCs w:val="24"/>
        </w:rPr>
        <w:t xml:space="preserve">lo siguiente: </w:t>
      </w:r>
    </w:p>
    <w:p w:rsidR="007A4E6F" w:rsidRDefault="007A4E6F">
      <w:pPr>
        <w:spacing w:after="0" w:line="240" w:lineRule="auto"/>
        <w:jc w:val="both"/>
        <w:rPr>
          <w:rFonts w:ascii="Arial Narrow" w:hAnsi="Arial Narrow" w:cs="Arial"/>
          <w:sz w:val="24"/>
          <w:szCs w:val="24"/>
        </w:rPr>
      </w:pPr>
    </w:p>
    <w:p w:rsidR="007A4E6F" w:rsidRDefault="00CE5478">
      <w:pPr>
        <w:pStyle w:val="Prrafodelista"/>
        <w:numPr>
          <w:ilvl w:val="0"/>
          <w:numId w:val="1"/>
        </w:numPr>
        <w:spacing w:after="0" w:line="240" w:lineRule="auto"/>
        <w:ind w:left="284" w:hanging="284"/>
        <w:jc w:val="both"/>
        <w:rPr>
          <w:rFonts w:ascii="Arial Narrow" w:hAnsi="Arial Narrow" w:cs="Arial"/>
          <w:sz w:val="24"/>
          <w:szCs w:val="24"/>
        </w:rPr>
      </w:pPr>
      <w:r>
        <w:rPr>
          <w:rFonts w:ascii="Arial Narrow" w:hAnsi="Arial Narrow" w:cs="Arial"/>
          <w:b/>
          <w:sz w:val="24"/>
          <w:szCs w:val="24"/>
        </w:rPr>
        <w:t>Ambiente de Control</w:t>
      </w:r>
      <w:r>
        <w:rPr>
          <w:rFonts w:ascii="Arial Narrow" w:hAnsi="Arial Narrow" w:cs="Arial"/>
          <w:sz w:val="24"/>
          <w:szCs w:val="24"/>
        </w:rPr>
        <w:t>: 20 de 24 lineamientos valorados se encuentran presentes y funcionando, para un 83,3% de participación. Lo anterior infiere efectividad alta del</w:t>
      </w:r>
      <w:r>
        <w:rPr>
          <w:rFonts w:ascii="Arial Narrow" w:hAnsi="Arial Narrow" w:cs="Arial"/>
          <w:sz w:val="24"/>
          <w:szCs w:val="24"/>
        </w:rPr>
        <w:t xml:space="preserve"> componente, frente al cumplimiento de los objetivos, y se requiere de acciones o actividades dirigidas a su mantenimiento dentro del marco de las líneas de defensa. Cuatro lineamientos (4,2%) presentes, se observaron con debilidades en el control, por lo </w:t>
      </w:r>
      <w:r>
        <w:rPr>
          <w:rFonts w:ascii="Arial Narrow" w:hAnsi="Arial Narrow" w:cs="Arial"/>
          <w:sz w:val="24"/>
          <w:szCs w:val="24"/>
        </w:rPr>
        <w:t>que, se requiere de acciones dirigidas a fortalecer o mejorar su diseño y/o ejecución.</w:t>
      </w:r>
    </w:p>
    <w:p w:rsidR="007A4E6F" w:rsidRDefault="007A4E6F">
      <w:pPr>
        <w:pStyle w:val="NormalWeb"/>
        <w:shd w:val="clear" w:color="auto" w:fill="FFFFFF"/>
        <w:spacing w:before="0" w:beforeAutospacing="0" w:after="0" w:afterAutospacing="0"/>
        <w:ind w:left="284"/>
        <w:jc w:val="both"/>
        <w:rPr>
          <w:rFonts w:ascii="Arial Narrow" w:hAnsi="Arial Narrow" w:cs="Arial"/>
          <w:color w:val="000000" w:themeColor="text1"/>
          <w:lang w:val="es-MX"/>
        </w:rPr>
      </w:pPr>
    </w:p>
    <w:p w:rsidR="007A4E6F" w:rsidRDefault="00CE5478">
      <w:pPr>
        <w:pStyle w:val="NormalWeb"/>
        <w:numPr>
          <w:ilvl w:val="0"/>
          <w:numId w:val="1"/>
        </w:numPr>
        <w:shd w:val="clear" w:color="auto" w:fill="FFFFFF"/>
        <w:spacing w:before="0" w:beforeAutospacing="0" w:after="0" w:afterAutospacing="0"/>
        <w:ind w:left="284" w:hanging="284"/>
        <w:jc w:val="both"/>
        <w:rPr>
          <w:rFonts w:ascii="Arial Narrow" w:hAnsi="Arial Narrow" w:cs="Arial"/>
          <w:color w:val="000000" w:themeColor="text1"/>
          <w:lang w:val="es-MX"/>
        </w:rPr>
      </w:pPr>
      <w:r>
        <w:rPr>
          <w:rFonts w:ascii="Arial Narrow" w:hAnsi="Arial Narrow" w:cs="Arial"/>
          <w:b/>
          <w:lang w:val="es-MX"/>
        </w:rPr>
        <w:t>Evaluación de Riesgos</w:t>
      </w:r>
      <w:r>
        <w:rPr>
          <w:rFonts w:ascii="Arial Narrow" w:hAnsi="Arial Narrow" w:cs="Arial"/>
          <w:lang w:val="es-MX"/>
        </w:rPr>
        <w:t xml:space="preserve">: </w:t>
      </w:r>
      <w:r>
        <w:rPr>
          <w:rFonts w:ascii="Arial Narrow" w:hAnsi="Arial Narrow" w:cs="Arial"/>
          <w:color w:val="000000" w:themeColor="text1"/>
          <w:lang w:val="es-MX"/>
        </w:rPr>
        <w:t xml:space="preserve">EMCALI EICE ESP., a través de la Subgerencia de Planeación Corporativa, en concordancia con la estructura de la Política de Administración del </w:t>
      </w:r>
      <w:r>
        <w:rPr>
          <w:rFonts w:ascii="Arial Narrow" w:hAnsi="Arial Narrow" w:cs="Arial"/>
          <w:color w:val="000000" w:themeColor="text1"/>
          <w:lang w:val="es-MX"/>
        </w:rPr>
        <w:t xml:space="preserve">Riesgo, dando alcance al ordenamiento legal, tiene definido lineamientos para toda la entidad, que incluye regionales, áreas </w:t>
      </w:r>
      <w:proofErr w:type="spellStart"/>
      <w:r>
        <w:rPr>
          <w:rFonts w:ascii="Arial Narrow" w:hAnsi="Arial Narrow" w:cs="Arial"/>
          <w:color w:val="000000" w:themeColor="text1"/>
          <w:lang w:val="es-MX"/>
        </w:rPr>
        <w:t>tercerizadas</w:t>
      </w:r>
      <w:proofErr w:type="spellEnd"/>
      <w:r>
        <w:rPr>
          <w:rFonts w:ascii="Arial Narrow" w:hAnsi="Arial Narrow" w:cs="Arial"/>
          <w:color w:val="000000" w:themeColor="text1"/>
          <w:lang w:val="es-MX"/>
        </w:rPr>
        <w:t xml:space="preserve"> u otras instancias que afectan la prestación del servicio. Por tal motivo, implementó el modelo de Gestión Integral de</w:t>
      </w:r>
      <w:r>
        <w:rPr>
          <w:rFonts w:ascii="Arial Narrow" w:hAnsi="Arial Narrow" w:cs="Arial"/>
          <w:color w:val="000000" w:themeColor="text1"/>
          <w:lang w:val="es-MX"/>
        </w:rPr>
        <w:t>l Riesgo, con metodología aplicada a toda la organización, apoyada en el Modelo de Operación por Procesos (MOP), cuyo alcance contiene los lineamientos para toda la entidad, e incluye los Riesgos Estratégicos, por procesos y subprocesos, los cuales involuc</w:t>
      </w:r>
      <w:r>
        <w:rPr>
          <w:rFonts w:ascii="Arial Narrow" w:hAnsi="Arial Narrow" w:cs="Arial"/>
          <w:color w:val="000000" w:themeColor="text1"/>
          <w:lang w:val="es-MX"/>
        </w:rPr>
        <w:t>ra a cada una de las tres unidades de negocio, cinco gerencias de soporte y la gerencia general.</w:t>
      </w:r>
    </w:p>
    <w:p w:rsidR="007A4E6F" w:rsidRDefault="007A4E6F">
      <w:pPr>
        <w:pStyle w:val="NormalWeb"/>
        <w:shd w:val="clear" w:color="auto" w:fill="FFFFFF"/>
        <w:spacing w:before="0" w:beforeAutospacing="0" w:after="0" w:afterAutospacing="0"/>
        <w:jc w:val="both"/>
        <w:rPr>
          <w:rFonts w:ascii="Arial Narrow" w:hAnsi="Arial Narrow" w:cs="Arial"/>
          <w:color w:val="000000" w:themeColor="text1"/>
          <w:lang w:val="es-MX"/>
        </w:rPr>
      </w:pPr>
    </w:p>
    <w:p w:rsidR="007A4E6F" w:rsidRDefault="00CE5478">
      <w:pPr>
        <w:pStyle w:val="NormalWeb"/>
        <w:shd w:val="clear" w:color="auto" w:fill="FFFFFF"/>
        <w:spacing w:before="0" w:beforeAutospacing="0" w:after="0" w:afterAutospacing="0"/>
        <w:ind w:left="284"/>
        <w:jc w:val="both"/>
        <w:rPr>
          <w:rFonts w:ascii="Arial Narrow" w:hAnsi="Arial Narrow" w:cs="Arial"/>
          <w:color w:val="000000" w:themeColor="text1"/>
          <w:lang w:val="es-MX"/>
        </w:rPr>
      </w:pPr>
      <w:r>
        <w:rPr>
          <w:rFonts w:ascii="Arial Narrow" w:hAnsi="Arial Narrow" w:cs="Arial"/>
          <w:color w:val="000000" w:themeColor="text1"/>
          <w:lang w:val="es-MX"/>
        </w:rPr>
        <w:t xml:space="preserve">Al primer semestre 2024, la entidad tiene identificados los escenarios de riesgo, los cuales cuenta con los procesos y procedimientos y el diseño de formatos de seguimiento a la Gestión Integral del Riesgo. </w:t>
      </w:r>
      <w:r>
        <w:rPr>
          <w:rFonts w:ascii="Arial Narrow" w:hAnsi="Arial Narrow" w:cs="Arial"/>
          <w:color w:val="000000" w:themeColor="text1"/>
          <w:lang w:val="es-MX"/>
        </w:rPr>
        <w:lastRenderedPageBreak/>
        <w:t xml:space="preserve">Los controles diseñados y ejecutados que blindan </w:t>
      </w:r>
      <w:r>
        <w:rPr>
          <w:rFonts w:ascii="Arial Narrow" w:hAnsi="Arial Narrow" w:cs="Arial"/>
          <w:color w:val="000000" w:themeColor="text1"/>
          <w:lang w:val="es-MX"/>
        </w:rPr>
        <w:t>la materialización del riesgo, son valorados trimestralmente por cada responsable de la gestión del riesgo, atendiendo la recomendación dada por la guía DAFP. Durante la vigencia 2024, la Subgerencia de Planeación y Desarrollo Empresarial ha presentado dos</w:t>
      </w:r>
      <w:r>
        <w:rPr>
          <w:rFonts w:ascii="Arial Narrow" w:hAnsi="Arial Narrow" w:cs="Arial"/>
          <w:color w:val="000000" w:themeColor="text1"/>
          <w:lang w:val="es-MX"/>
        </w:rPr>
        <w:t xml:space="preserve"> informes institucionales sobre evaluación del Riesgo empresarial por proceso, con revisión de los mapas de riesgo. </w:t>
      </w:r>
    </w:p>
    <w:p w:rsidR="007A4E6F" w:rsidRDefault="007A4E6F">
      <w:pPr>
        <w:pStyle w:val="NormalWeb"/>
        <w:shd w:val="clear" w:color="auto" w:fill="FFFFFF"/>
        <w:spacing w:before="0" w:beforeAutospacing="0" w:after="0" w:afterAutospacing="0"/>
        <w:ind w:left="284"/>
        <w:jc w:val="both"/>
        <w:rPr>
          <w:rFonts w:ascii="Arial Narrow" w:hAnsi="Arial Narrow" w:cs="Arial"/>
          <w:color w:val="000000" w:themeColor="text1"/>
          <w:lang w:val="es-MX"/>
        </w:rPr>
      </w:pPr>
    </w:p>
    <w:p w:rsidR="007A4E6F" w:rsidRDefault="00CE5478">
      <w:pPr>
        <w:pStyle w:val="NormalWeb"/>
        <w:shd w:val="clear" w:color="auto" w:fill="FFFFFF"/>
        <w:spacing w:before="0" w:beforeAutospacing="0" w:after="0" w:afterAutospacing="0"/>
        <w:ind w:left="284"/>
        <w:jc w:val="both"/>
        <w:rPr>
          <w:rFonts w:ascii="Arial Narrow" w:hAnsi="Arial Narrow"/>
          <w:color w:val="000000" w:themeColor="text1"/>
          <w:lang w:val="es-MX"/>
        </w:rPr>
      </w:pPr>
      <w:r>
        <w:rPr>
          <w:rFonts w:ascii="Arial Narrow" w:hAnsi="Arial Narrow" w:cs="Arial"/>
          <w:color w:val="000000" w:themeColor="text1"/>
          <w:lang w:val="es-MX"/>
        </w:rPr>
        <w:t xml:space="preserve">La Empresa igualmente tiene mapeado los riesgos del </w:t>
      </w:r>
      <w:r>
        <w:rPr>
          <w:rFonts w:ascii="Arial Narrow" w:hAnsi="Arial Narrow"/>
          <w:color w:val="000000" w:themeColor="text1"/>
          <w:lang w:val="es-MX"/>
        </w:rPr>
        <w:t>entorno y los diferentes factores que allí confluyen; el entorno financiero, la políti</w:t>
      </w:r>
      <w:r>
        <w:rPr>
          <w:rFonts w:ascii="Arial Narrow" w:hAnsi="Arial Narrow"/>
          <w:color w:val="000000" w:themeColor="text1"/>
          <w:lang w:val="es-MX"/>
        </w:rPr>
        <w:t>ca y la competencia, entre otros, los cuales constituyen elementos que representan riesgos a la compañía en mayor o menor grado. Los riesgos relacionados con el tema de la ciberseguridad informática no han sido incorporados aún en el momento. Los estándare</w:t>
      </w:r>
      <w:r>
        <w:rPr>
          <w:rFonts w:ascii="Arial Narrow" w:hAnsi="Arial Narrow"/>
          <w:color w:val="000000" w:themeColor="text1"/>
          <w:lang w:val="es-MX"/>
        </w:rPr>
        <w:t xml:space="preserve">s internacionales plantean la necesidad actual de contar con planes de tratamiento, que facilite su identificación, impacto y la forma de mitigarlos, reducirlos o eliminarlos, representados en EMCALI por su gestión integral. </w:t>
      </w:r>
    </w:p>
    <w:p w:rsidR="007A4E6F" w:rsidRDefault="007A4E6F">
      <w:pPr>
        <w:pStyle w:val="NormalWeb"/>
        <w:shd w:val="clear" w:color="auto" w:fill="FFFFFF"/>
        <w:spacing w:before="0" w:beforeAutospacing="0" w:after="0" w:afterAutospacing="0"/>
        <w:ind w:left="284"/>
        <w:jc w:val="both"/>
        <w:rPr>
          <w:rFonts w:ascii="Arial Narrow" w:hAnsi="Arial Narrow"/>
          <w:color w:val="000000" w:themeColor="text1"/>
          <w:lang w:val="es-MX"/>
        </w:rPr>
      </w:pPr>
    </w:p>
    <w:p w:rsidR="007A4E6F" w:rsidRDefault="00CE5478">
      <w:pPr>
        <w:pStyle w:val="NormalWeb"/>
        <w:shd w:val="clear" w:color="auto" w:fill="FFFFFF"/>
        <w:spacing w:before="0" w:beforeAutospacing="0" w:after="0" w:afterAutospacing="0"/>
        <w:ind w:left="284"/>
        <w:jc w:val="both"/>
        <w:rPr>
          <w:rFonts w:ascii="Arial Narrow" w:hAnsi="Arial Narrow"/>
          <w:color w:val="000000" w:themeColor="text1"/>
          <w:lang w:val="es-MX"/>
        </w:rPr>
      </w:pPr>
      <w:r>
        <w:rPr>
          <w:rFonts w:ascii="Arial Narrow" w:hAnsi="Arial Narrow"/>
          <w:color w:val="000000" w:themeColor="text1"/>
          <w:lang w:val="es-MX"/>
        </w:rPr>
        <w:t>Es imperativo recordar que la</w:t>
      </w:r>
      <w:r>
        <w:rPr>
          <w:rFonts w:ascii="Arial Narrow" w:hAnsi="Arial Narrow"/>
          <w:color w:val="000000" w:themeColor="text1"/>
          <w:lang w:val="es-MX"/>
        </w:rPr>
        <w:t xml:space="preserve"> gestión de riesgos, como disciplina en el quehacer empresarial, se basa en una serie de estrategias que permiten prevenir la materialización de eventos que puedan afectar el logro de sus objetivos o disminuir su consecuencia en caso de que llegaran a mate</w:t>
      </w:r>
      <w:r>
        <w:rPr>
          <w:rFonts w:ascii="Arial Narrow" w:hAnsi="Arial Narrow"/>
          <w:color w:val="000000" w:themeColor="text1"/>
          <w:lang w:val="es-MX"/>
        </w:rPr>
        <w:t xml:space="preserve">rializarse. En la administración pública dicha gestión es de obligatoria exigencia por el </w:t>
      </w:r>
      <w:r w:rsidR="00B7402C">
        <w:rPr>
          <w:rFonts w:ascii="Arial Narrow" w:hAnsi="Arial Narrow"/>
          <w:color w:val="000000" w:themeColor="text1"/>
          <w:lang w:val="es-MX"/>
        </w:rPr>
        <w:t>Departamento Administrativo</w:t>
      </w:r>
      <w:r>
        <w:rPr>
          <w:rFonts w:ascii="Arial Narrow" w:hAnsi="Arial Narrow"/>
          <w:color w:val="000000" w:themeColor="text1"/>
          <w:lang w:val="es-MX"/>
        </w:rPr>
        <w:t xml:space="preserve"> de la Función Pública</w:t>
      </w:r>
      <w:r w:rsidR="00B7402C">
        <w:rPr>
          <w:rFonts w:ascii="Arial Narrow" w:hAnsi="Arial Narrow"/>
          <w:color w:val="000000" w:themeColor="text1"/>
          <w:lang w:val="es-MX"/>
        </w:rPr>
        <w:t xml:space="preserve"> -DAFP</w:t>
      </w:r>
      <w:r>
        <w:rPr>
          <w:rFonts w:ascii="Arial Narrow" w:hAnsi="Arial Narrow"/>
          <w:color w:val="000000" w:themeColor="text1"/>
          <w:lang w:val="es-MX"/>
        </w:rPr>
        <w:t>, como parte integral del fortalecimiento de los sistemas de control interno, en las entidades públicas.</w:t>
      </w:r>
    </w:p>
    <w:p w:rsidR="007A4E6F" w:rsidRDefault="007A4E6F">
      <w:pPr>
        <w:pStyle w:val="NormalWeb"/>
        <w:shd w:val="clear" w:color="auto" w:fill="FFFFFF"/>
        <w:spacing w:before="0" w:beforeAutospacing="0" w:after="0" w:afterAutospacing="0"/>
        <w:ind w:left="284"/>
        <w:jc w:val="both"/>
        <w:rPr>
          <w:rFonts w:ascii="Arial Narrow" w:hAnsi="Arial Narrow"/>
          <w:color w:val="000000" w:themeColor="text1"/>
          <w:lang w:val="es-MX"/>
        </w:rPr>
      </w:pPr>
    </w:p>
    <w:p w:rsidR="007A4E6F" w:rsidRDefault="00CE5478">
      <w:pPr>
        <w:pStyle w:val="NormalWeb"/>
        <w:shd w:val="clear" w:color="auto" w:fill="FFFFFF"/>
        <w:spacing w:before="0" w:beforeAutospacing="0" w:after="0" w:afterAutospacing="0"/>
        <w:ind w:left="284"/>
        <w:jc w:val="both"/>
        <w:rPr>
          <w:rFonts w:ascii="Arial Narrow" w:hAnsi="Arial Narrow" w:cs="Arial"/>
          <w:lang w:val="es-MX"/>
        </w:rPr>
      </w:pPr>
      <w:r>
        <w:rPr>
          <w:rFonts w:ascii="Arial Narrow" w:hAnsi="Arial Narrow"/>
          <w:color w:val="000000" w:themeColor="text1"/>
          <w:lang w:val="es-MX"/>
        </w:rPr>
        <w:t>EMCALI, co</w:t>
      </w:r>
      <w:r>
        <w:rPr>
          <w:rFonts w:ascii="Arial Narrow" w:hAnsi="Arial Narrow"/>
          <w:color w:val="000000" w:themeColor="text1"/>
          <w:lang w:val="es-MX"/>
        </w:rPr>
        <w:t xml:space="preserve">n el ánimo de facilitar el logro de sus objetivos estratégicos y actuando dentro del marco legal vigente, viene realizando una gestión integral de riesgos, cuyo comportamiento en la presente vigencia es como sigue: </w:t>
      </w:r>
      <w:r>
        <w:rPr>
          <w:rFonts w:ascii="Arial Narrow" w:hAnsi="Arial Narrow" w:cs="Arial"/>
          <w:lang w:val="es-MX"/>
        </w:rPr>
        <w:t>10 de 17 lineamientos definidos y valorad</w:t>
      </w:r>
      <w:r>
        <w:rPr>
          <w:rFonts w:ascii="Arial Narrow" w:hAnsi="Arial Narrow" w:cs="Arial"/>
          <w:lang w:val="es-MX"/>
        </w:rPr>
        <w:t xml:space="preserve">os por el aplicativo DAFP., se encuentran presentes y funcionando, para un 58,8% de participación. Lo anterior infiere un nivel de efectividad media para el componente. Cinco lineamientos presentes (29.4%), se observaron con debilidades en el control, por </w:t>
      </w:r>
      <w:r>
        <w:rPr>
          <w:rFonts w:ascii="Arial Narrow" w:hAnsi="Arial Narrow" w:cs="Arial"/>
          <w:lang w:val="es-MX"/>
        </w:rPr>
        <w:t>lo que se requiere de acciones dirigidas a fortalecer o mejorar su diseño y/o ejecución, específicamente relacionados con seguridad informática. Se evidenciaron dos lineamientos donde opera el control, pero con falencias.</w:t>
      </w:r>
    </w:p>
    <w:p w:rsidR="007A4E6F" w:rsidRDefault="007A4E6F">
      <w:pPr>
        <w:pStyle w:val="Prrafodelista"/>
        <w:rPr>
          <w:rFonts w:ascii="Arial Narrow" w:hAnsi="Arial Narrow" w:cs="Arial"/>
          <w:sz w:val="24"/>
          <w:szCs w:val="24"/>
        </w:rPr>
      </w:pPr>
    </w:p>
    <w:p w:rsidR="007A4E6F" w:rsidRDefault="00CE5478">
      <w:pPr>
        <w:pStyle w:val="Prrafodelista"/>
        <w:numPr>
          <w:ilvl w:val="0"/>
          <w:numId w:val="1"/>
        </w:numPr>
        <w:spacing w:after="0" w:line="240" w:lineRule="auto"/>
        <w:ind w:left="284" w:hanging="284"/>
        <w:jc w:val="both"/>
        <w:rPr>
          <w:rFonts w:ascii="Arial Narrow" w:hAnsi="Arial Narrow" w:cs="Arial"/>
          <w:sz w:val="24"/>
          <w:szCs w:val="24"/>
        </w:rPr>
      </w:pPr>
      <w:r>
        <w:rPr>
          <w:rFonts w:ascii="Arial Narrow" w:hAnsi="Arial Narrow" w:cs="Arial"/>
          <w:b/>
          <w:sz w:val="24"/>
          <w:szCs w:val="24"/>
        </w:rPr>
        <w:t xml:space="preserve">Actividades de Control: </w:t>
      </w:r>
      <w:r>
        <w:rPr>
          <w:rFonts w:ascii="Arial Narrow" w:hAnsi="Arial Narrow" w:cs="Arial"/>
          <w:sz w:val="24"/>
          <w:szCs w:val="24"/>
        </w:rPr>
        <w:t xml:space="preserve">11 de 12 </w:t>
      </w:r>
      <w:r>
        <w:rPr>
          <w:rFonts w:ascii="Arial Narrow" w:hAnsi="Arial Narrow" w:cs="Arial"/>
          <w:sz w:val="24"/>
          <w:szCs w:val="24"/>
        </w:rPr>
        <w:t>lineamientos del componente, se observaron presentes y funcionando, para un 91,6% de participación. Lo anterior infiere un nivel de efectividad alto del componente. Un solo lineamiento (0,8%), se encontró presente, pero con debilidades en el control, por l</w:t>
      </w:r>
      <w:r>
        <w:rPr>
          <w:rFonts w:ascii="Arial Narrow" w:hAnsi="Arial Narrow" w:cs="Arial"/>
          <w:sz w:val="24"/>
          <w:szCs w:val="24"/>
        </w:rPr>
        <w:t>o que se requiere de acciones dirigidas a fortalecer o mejorar su diseño y/o ejecución. Quiere decir según la tabla de contingencia del aplicativo-DAFP, que el control opera como está diseñado, pero con algunas falencias.</w:t>
      </w:r>
    </w:p>
    <w:p w:rsidR="007A4E6F" w:rsidRDefault="007A4E6F">
      <w:pPr>
        <w:spacing w:after="0" w:line="240" w:lineRule="auto"/>
        <w:jc w:val="both"/>
        <w:rPr>
          <w:rFonts w:ascii="Arial Narrow" w:hAnsi="Arial Narrow" w:cs="Arial"/>
          <w:sz w:val="24"/>
          <w:szCs w:val="24"/>
        </w:rPr>
      </w:pPr>
    </w:p>
    <w:p w:rsidR="007A4E6F" w:rsidRDefault="00CE5478">
      <w:pPr>
        <w:pStyle w:val="Prrafodelista"/>
        <w:numPr>
          <w:ilvl w:val="0"/>
          <w:numId w:val="1"/>
        </w:numPr>
        <w:spacing w:after="0" w:line="240" w:lineRule="auto"/>
        <w:ind w:left="284" w:hanging="284"/>
        <w:jc w:val="both"/>
        <w:rPr>
          <w:rFonts w:ascii="Arial Narrow" w:hAnsi="Arial Narrow" w:cs="Arial"/>
          <w:sz w:val="24"/>
          <w:szCs w:val="24"/>
        </w:rPr>
      </w:pPr>
      <w:r>
        <w:rPr>
          <w:rFonts w:ascii="Arial Narrow" w:hAnsi="Arial Narrow" w:cs="Arial"/>
          <w:b/>
          <w:sz w:val="24"/>
          <w:szCs w:val="24"/>
        </w:rPr>
        <w:t xml:space="preserve">Información y Comunicación: </w:t>
      </w:r>
      <w:r>
        <w:rPr>
          <w:rFonts w:ascii="Arial Narrow" w:hAnsi="Arial Narrow" w:cs="Arial"/>
          <w:sz w:val="24"/>
          <w:szCs w:val="24"/>
        </w:rPr>
        <w:t>10 de</w:t>
      </w:r>
      <w:r>
        <w:rPr>
          <w:rFonts w:ascii="Arial Narrow" w:hAnsi="Arial Narrow" w:cs="Arial"/>
          <w:sz w:val="24"/>
          <w:szCs w:val="24"/>
        </w:rPr>
        <w:t xml:space="preserve"> 14 lineamientos del componente, se observaron presentes y funcionando, para un 71,4% de participación. Lo anterior infiere un nivel de efectividad medio-alto del componente. Cuatro lineamientos (28,5%), se encontró presente, pero con debilidades en el con</w:t>
      </w:r>
      <w:r>
        <w:rPr>
          <w:rFonts w:ascii="Arial Narrow" w:hAnsi="Arial Narrow" w:cs="Arial"/>
          <w:sz w:val="24"/>
          <w:szCs w:val="24"/>
        </w:rPr>
        <w:t>trol, por lo que se requiere de acciones dirigidas a fortalecer o mejorar su diseño y/o ejecución. Quiere decir, según la tabla de contingencia del aplicativo-DAFP, que el control opera como está diseñado, pero con algunas falencias.</w:t>
      </w:r>
    </w:p>
    <w:p w:rsidR="007A4E6F" w:rsidRDefault="007A4E6F">
      <w:pPr>
        <w:spacing w:after="0" w:line="240" w:lineRule="auto"/>
        <w:jc w:val="both"/>
        <w:rPr>
          <w:rFonts w:ascii="Arial Narrow" w:hAnsi="Arial Narrow" w:cs="Arial"/>
          <w:sz w:val="24"/>
          <w:szCs w:val="24"/>
        </w:rPr>
      </w:pPr>
    </w:p>
    <w:p w:rsidR="007A4E6F" w:rsidRDefault="00CE5478">
      <w:pPr>
        <w:pStyle w:val="Prrafodelista"/>
        <w:numPr>
          <w:ilvl w:val="0"/>
          <w:numId w:val="1"/>
        </w:numPr>
        <w:spacing w:after="0" w:line="240" w:lineRule="auto"/>
        <w:ind w:left="284" w:hanging="284"/>
        <w:jc w:val="both"/>
        <w:rPr>
          <w:rFonts w:ascii="Arial Narrow" w:hAnsi="Arial Narrow" w:cs="Arial"/>
          <w:sz w:val="24"/>
          <w:szCs w:val="24"/>
        </w:rPr>
      </w:pPr>
      <w:r>
        <w:rPr>
          <w:rFonts w:ascii="Arial Narrow" w:hAnsi="Arial Narrow" w:cs="Arial"/>
          <w:b/>
          <w:sz w:val="24"/>
          <w:szCs w:val="24"/>
        </w:rPr>
        <w:t xml:space="preserve">Monitoreo: </w:t>
      </w:r>
      <w:r>
        <w:rPr>
          <w:rFonts w:ascii="Arial Narrow" w:hAnsi="Arial Narrow" w:cs="Arial"/>
          <w:sz w:val="24"/>
          <w:szCs w:val="24"/>
        </w:rPr>
        <w:t>9 de 14 li</w:t>
      </w:r>
      <w:r>
        <w:rPr>
          <w:rFonts w:ascii="Arial Narrow" w:hAnsi="Arial Narrow" w:cs="Arial"/>
          <w:sz w:val="24"/>
          <w:szCs w:val="24"/>
        </w:rPr>
        <w:t xml:space="preserve">neamientos del componente, se observaron presentes y funcionando, para un 64,2% de participación. Lo anterior infiere un nivel de efectividad alto del componente. Cinco lineamientos (35,7%), se encontraron presente, pero con debilidades en el control, por </w:t>
      </w:r>
      <w:r>
        <w:rPr>
          <w:rFonts w:ascii="Arial Narrow" w:hAnsi="Arial Narrow" w:cs="Arial"/>
          <w:sz w:val="24"/>
          <w:szCs w:val="24"/>
        </w:rPr>
        <w:t xml:space="preserve">lo que se </w:t>
      </w:r>
      <w:r>
        <w:rPr>
          <w:rFonts w:ascii="Arial Narrow" w:hAnsi="Arial Narrow" w:cs="Arial"/>
          <w:sz w:val="24"/>
          <w:szCs w:val="24"/>
        </w:rPr>
        <w:lastRenderedPageBreak/>
        <w:t>requiere de acciones dirigidas a fortalecer o mejorar su diseño y/o ejecución. Quiere decir, según la tabla de contingencia del aplicativo-DAFP, que el control opera como está diseñado, pero con algunas falencias.</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 xml:space="preserve">La evolución de los cinco </w:t>
      </w:r>
      <w:r>
        <w:rPr>
          <w:rFonts w:ascii="Arial Narrow" w:hAnsi="Arial Narrow" w:cs="Arial"/>
          <w:sz w:val="24"/>
          <w:szCs w:val="24"/>
        </w:rPr>
        <w:t>últimos años, muestra como tendencia un mejoramiento en el estado de desarrollo del sistema de Control Interno (línea asintótica de color verde), lo cual se evidencia en la siguiente gráfica, derivada de la aplicación del aplicativo virtual DAFP 2019-2024.</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noProof/>
          <w:lang w:val="en-US"/>
        </w:rPr>
        <w:drawing>
          <wp:inline distT="0" distB="0" distL="0" distR="0">
            <wp:extent cx="5810250" cy="3848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a:srcRect l="21815" t="17654" r="19253" b="12020"/>
                    <a:stretch>
                      <a:fillRect/>
                    </a:stretch>
                  </pic:blipFill>
                  <pic:spPr>
                    <a:xfrm>
                      <a:off x="0" y="0"/>
                      <a:ext cx="5822890" cy="3857108"/>
                    </a:xfrm>
                    <a:prstGeom prst="rect">
                      <a:avLst/>
                    </a:prstGeom>
                    <a:ln>
                      <a:noFill/>
                    </a:ln>
                  </pic:spPr>
                </pic:pic>
              </a:graphicData>
            </a:graphic>
          </wp:inline>
        </w:drawing>
      </w: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 xml:space="preserve">La integración de los componentes muestra un nivel promedio del 89%, en los últimos cinco años, en consideración de las evaluaciones semestrales, definidas y aplicadas por el aplicativo. </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De lo anterior se concluye: EMCALI EICE ESP., continúa ejecutando actividades, a la luz de su Mapa de Operación por Procesos, con el fin de mantener un nivel aceptable de su Sistema Institucional de Control Interno (art. 2.2.21.3.1 Decreto 648 de 2017 –DAF</w:t>
      </w:r>
      <w:r>
        <w:rPr>
          <w:rFonts w:ascii="Arial Narrow" w:hAnsi="Arial Narrow" w:cs="Arial"/>
          <w:sz w:val="24"/>
          <w:szCs w:val="24"/>
        </w:rPr>
        <w:t xml:space="preserve">P.), articulado con el Sistema de Gestión, dentro del marco del Modelo Integrado de Planeación y Gestión - MIPG, a través de los mecanismos de control y verificación, de allí la transversalidad a la gestión y desempeño. El IDI, 2023, según el modelo </w:t>
      </w:r>
      <w:proofErr w:type="spellStart"/>
      <w:r>
        <w:rPr>
          <w:rFonts w:ascii="Arial Narrow" w:hAnsi="Arial Narrow" w:cs="Arial"/>
          <w:sz w:val="24"/>
          <w:szCs w:val="24"/>
        </w:rPr>
        <w:t>Furag</w:t>
      </w:r>
      <w:proofErr w:type="spellEnd"/>
      <w:r>
        <w:rPr>
          <w:rFonts w:ascii="Arial Narrow" w:hAnsi="Arial Narrow" w:cs="Arial"/>
          <w:sz w:val="24"/>
          <w:szCs w:val="24"/>
        </w:rPr>
        <w:t>-</w:t>
      </w:r>
      <w:r>
        <w:rPr>
          <w:rFonts w:ascii="Arial Narrow" w:hAnsi="Arial Narrow" w:cs="Arial"/>
          <w:sz w:val="24"/>
          <w:szCs w:val="24"/>
        </w:rPr>
        <w:t xml:space="preserve">II, y acta 150-2023 del 27/11/2023, por la Unidad de Planeación Estratégica, exhibió una calificación de 69,7, sobre 100 puntos.  </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La Alta Dirección a través de la Dirección de Control Interno DCI, viene ejecutando su Plan anual de Auditorías con serias l</w:t>
      </w:r>
      <w:r>
        <w:rPr>
          <w:rFonts w:ascii="Arial Narrow" w:hAnsi="Arial Narrow" w:cs="Arial"/>
          <w:sz w:val="24"/>
          <w:szCs w:val="24"/>
        </w:rPr>
        <w:t>imitaciones en Talento Humano especializado y formalización de aspectos técnicos especialmente ante la marcada debilidad de ausencia y modernización de herramientas tecnológicas, derivada de la obsolescencia actual del parque general tecnológico de EMCALI,</w:t>
      </w:r>
      <w:r>
        <w:rPr>
          <w:rFonts w:ascii="Arial Narrow" w:hAnsi="Arial Narrow" w:cs="Arial"/>
          <w:sz w:val="24"/>
          <w:szCs w:val="24"/>
        </w:rPr>
        <w:t xml:space="preserve"> pero contribuyendo a través de la ejecución de auditorías internas basadas en Gobierno, Riesgos y Controles, al fortalecimiento de la estructura de los mismos, levantados y caracterizados por el modelo Estándar en sus diferentes </w:t>
      </w:r>
      <w:r>
        <w:rPr>
          <w:rFonts w:ascii="Arial Narrow" w:hAnsi="Arial Narrow" w:cs="Arial"/>
          <w:sz w:val="24"/>
          <w:szCs w:val="24"/>
        </w:rPr>
        <w:lastRenderedPageBreak/>
        <w:t>componentes. Mediante diag</w:t>
      </w:r>
      <w:r>
        <w:rPr>
          <w:rFonts w:ascii="Arial Narrow" w:hAnsi="Arial Narrow" w:cs="Arial"/>
          <w:sz w:val="24"/>
          <w:szCs w:val="24"/>
        </w:rPr>
        <w:t>nósticos, actividades de liderazgo estratégico y la participación activa en algunos Comités Institucionales como Responsabilidad Social y Ciclos de Servicio, la DCI sigue activa con su presencia institucional generando las respectivas acciones de mejora qu</w:t>
      </w:r>
      <w:r>
        <w:rPr>
          <w:rFonts w:ascii="Arial Narrow" w:hAnsi="Arial Narrow" w:cs="Arial"/>
          <w:sz w:val="24"/>
          <w:szCs w:val="24"/>
        </w:rPr>
        <w:t>e garantice la efectividad, y madurez de su Sistema de Control Interno.</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En el presente semestre, el Comité de Ciclos de Servicio de los diferentes negocios, no ha cumplido funcionalmente con la regularidad establecida por el ordenamiento interno, pues sol</w:t>
      </w:r>
      <w:r>
        <w:rPr>
          <w:rFonts w:ascii="Arial Narrow" w:hAnsi="Arial Narrow" w:cs="Arial"/>
          <w:sz w:val="24"/>
          <w:szCs w:val="24"/>
        </w:rPr>
        <w:t xml:space="preserve">o se conoció de dos reuniones formales, a principio de semestre, cuando la regularidad por resolución interna, es de un ciclo por servicio mensual. Se resalta su importancia, pues es allí donde se exhiben los aspectos positivos como negativos, en relación </w:t>
      </w:r>
      <w:r>
        <w:rPr>
          <w:rFonts w:ascii="Arial Narrow" w:hAnsi="Arial Narrow" w:cs="Arial"/>
          <w:sz w:val="24"/>
          <w:szCs w:val="24"/>
        </w:rPr>
        <w:t xml:space="preserve">con el cumplimiento de metas y objetivos institucionales. </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 xml:space="preserve">Durante el primer semestre 2024, se ha hecho evidente, la deficiencia reiterada de la estructura del control de las tecnologías de información, lo cual se ha materializado en ataques reiterados a </w:t>
      </w:r>
      <w:r>
        <w:rPr>
          <w:rFonts w:ascii="Arial Narrow" w:hAnsi="Arial Narrow" w:cs="Arial"/>
          <w:sz w:val="24"/>
          <w:szCs w:val="24"/>
        </w:rPr>
        <w:t xml:space="preserve">la infraestructura tecnológica y al sistema de seguridad informática del negocio, lo cual afectó y castigó cerca de dos puntos (1,75%), el componente de Información y Comunicación. Tal fue el caso, del ataque perpetrado el 16 de octubre de 2021, replicado </w:t>
      </w:r>
      <w:r>
        <w:rPr>
          <w:rFonts w:ascii="Arial Narrow" w:hAnsi="Arial Narrow" w:cs="Arial"/>
          <w:sz w:val="24"/>
          <w:szCs w:val="24"/>
        </w:rPr>
        <w:t>en condiciones similares, el domingo 9 de junio de 2024, a las 9:30 am., aprox., que afectó parte de la infraestructura de soporte tecnológico de la organización, especialmente de  servidores, redes del sistema eléctrico, equipos de infraestructura, para e</w:t>
      </w:r>
      <w:r>
        <w:rPr>
          <w:rFonts w:ascii="Arial Narrow" w:hAnsi="Arial Narrow" w:cs="Arial"/>
          <w:sz w:val="24"/>
          <w:szCs w:val="24"/>
        </w:rPr>
        <w:t xml:space="preserve">l cual de inmediato se activó un protocolo de salvaguarda activa y aislamiento de tecnologías conectadas a los sistemas centrales, y la ejecución de un protocolo de aislamiento, que evitara la propagación del malware. </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Según el Gerente de Área y asesor de</w:t>
      </w:r>
      <w:r>
        <w:rPr>
          <w:rFonts w:ascii="Arial Narrow" w:hAnsi="Arial Narrow" w:cs="Arial"/>
          <w:sz w:val="24"/>
          <w:szCs w:val="24"/>
        </w:rPr>
        <w:t xml:space="preserve"> la Gerencia de Tecnología de Información -GTI, en reunión con la DCI, el martes 11 de junio de 2024, se trató de un ataque dirigido, posiblemente sobre la componente automatizada del software de gestión comercial, presuntamente con fines extorsivos, según</w:t>
      </w:r>
      <w:r>
        <w:rPr>
          <w:rFonts w:ascii="Arial Narrow" w:hAnsi="Arial Narrow" w:cs="Arial"/>
          <w:sz w:val="24"/>
          <w:szCs w:val="24"/>
        </w:rPr>
        <w:t xml:space="preserve"> lo manifestado por el propio Gerente de Área. Para el grupo de gestión de seguridad de información, no se trató de un accidente o evento fortuito sino de un ataque planeado con efectos colaterales y fallas por aislamiento en servidores virtuales. Para el </w:t>
      </w:r>
      <w:r>
        <w:rPr>
          <w:rFonts w:ascii="Arial Narrow" w:hAnsi="Arial Narrow" w:cs="Arial"/>
          <w:sz w:val="24"/>
          <w:szCs w:val="24"/>
        </w:rPr>
        <w:t>proceso de restaure se activó de inmediato un equipo de crisis, con notificación permanente a la Gerencia General. Al martes 11 de junio/24, se observaron impedimentos en la conectividad de usuarios internos y remotos a la red corporativa.</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Todas las activ</w:t>
      </w:r>
      <w:r>
        <w:rPr>
          <w:rFonts w:ascii="Arial Narrow" w:hAnsi="Arial Narrow" w:cs="Arial"/>
          <w:sz w:val="24"/>
          <w:szCs w:val="24"/>
        </w:rPr>
        <w:t>idades, tal como fue notificado a la DCI, por el Gerente de Área de la Gerencia de Área de Tecnología de Información GTI, fueron reactivas, por lo que, se materializó el riesgo de infección informática. Según su gerente, se solicitó a la Alta Gerencia, una</w:t>
      </w:r>
      <w:r>
        <w:rPr>
          <w:rFonts w:ascii="Arial Narrow" w:hAnsi="Arial Narrow" w:cs="Arial"/>
          <w:sz w:val="24"/>
          <w:szCs w:val="24"/>
        </w:rPr>
        <w:t xml:space="preserve"> consultoría -Auditoría </w:t>
      </w:r>
      <w:proofErr w:type="spellStart"/>
      <w:r>
        <w:rPr>
          <w:rFonts w:ascii="Arial Narrow" w:hAnsi="Arial Narrow" w:cs="Arial"/>
          <w:sz w:val="24"/>
          <w:szCs w:val="24"/>
        </w:rPr>
        <w:t>Forence</w:t>
      </w:r>
      <w:proofErr w:type="spellEnd"/>
      <w:r>
        <w:rPr>
          <w:rFonts w:ascii="Arial Narrow" w:hAnsi="Arial Narrow" w:cs="Arial"/>
          <w:sz w:val="24"/>
          <w:szCs w:val="24"/>
        </w:rPr>
        <w:t>-, además de la convocatoria al Comité de Seguridad de Información SGSI. Es manifiesta la problemática actual de obsolescencia tecnológica de más de 15 años, lo cual nos lleva cada vez a ser más vulnerables y a la materializa</w:t>
      </w:r>
      <w:r>
        <w:rPr>
          <w:rFonts w:ascii="Arial Narrow" w:hAnsi="Arial Narrow" w:cs="Arial"/>
          <w:sz w:val="24"/>
          <w:szCs w:val="24"/>
        </w:rPr>
        <w:t>ción de riesgo inadmisible por ataques informáticos. Igualmente es visible la ausencia de expertos en ciberseguridad, en el momento, ante la alternativa de proteger adecuada e integralmente el perímetro, una falencia que se materializa en atraso, pérdida d</w:t>
      </w:r>
      <w:r>
        <w:rPr>
          <w:rFonts w:ascii="Arial Narrow" w:hAnsi="Arial Narrow" w:cs="Arial"/>
          <w:sz w:val="24"/>
          <w:szCs w:val="24"/>
        </w:rPr>
        <w:t>e competitividad y ausencia de soporte extendido para aplicaciones críticas, para el cual se requiere de acciones en el corto plazo que, permita fortalecer el componente de ciberseguridad, con controles que aún no han sido vinculados al mapa de riesgos del</w:t>
      </w:r>
      <w:r>
        <w:rPr>
          <w:rFonts w:ascii="Arial Narrow" w:hAnsi="Arial Narrow" w:cs="Arial"/>
          <w:sz w:val="24"/>
          <w:szCs w:val="24"/>
        </w:rPr>
        <w:t xml:space="preserve"> negocio, además de un relevo generacional del Talento Humano, pues más del 50%, de la masa crítica oficial, está ubicada actualmente por encima del límite de la edad de jubilación. </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Al cierre del presente proceso, las actividades de recuperación continua</w:t>
      </w:r>
      <w:r>
        <w:rPr>
          <w:rFonts w:ascii="Arial Narrow" w:hAnsi="Arial Narrow" w:cs="Arial"/>
          <w:sz w:val="24"/>
          <w:szCs w:val="24"/>
        </w:rPr>
        <w:t>ban de manera lenta y controlada con el fin de garantizar un aseguramiento básico, específicamente de las actividades comerciales del negocio. El impacto también provocó el aislamiento de la plataforma de Recursos empresariales SAP., para la cual se han fo</w:t>
      </w:r>
      <w:r>
        <w:rPr>
          <w:rFonts w:ascii="Arial Narrow" w:hAnsi="Arial Narrow" w:cs="Arial"/>
          <w:sz w:val="24"/>
          <w:szCs w:val="24"/>
        </w:rPr>
        <w:t xml:space="preserve">rmalizado informes a la alta dirección, reiterados y definidos como preventivos de </w:t>
      </w:r>
      <w:r>
        <w:rPr>
          <w:rFonts w:ascii="Arial Narrow" w:hAnsi="Arial Narrow" w:cs="Arial"/>
          <w:sz w:val="24"/>
          <w:szCs w:val="24"/>
        </w:rPr>
        <w:lastRenderedPageBreak/>
        <w:t>Control Interno, que hoy se visualizan en informes preventivos de Auditoria Interna. El resto de Comités han servido en la vigencia de complementación al desarrollo del sist</w:t>
      </w:r>
      <w:r>
        <w:rPr>
          <w:rFonts w:ascii="Arial Narrow" w:hAnsi="Arial Narrow" w:cs="Arial"/>
          <w:sz w:val="24"/>
          <w:szCs w:val="24"/>
        </w:rPr>
        <w:t>ema, como el de Ética, con campañas promovidas desde la Gerencia de Área Gestión Humana y Activos, actividad que se ha materializado mediante la promoción de acciones éticas, ante equipos de trabajo y difusión masiva de mensajes, por la intranet corporativ</w:t>
      </w:r>
      <w:r>
        <w:rPr>
          <w:rFonts w:ascii="Arial Narrow" w:hAnsi="Arial Narrow" w:cs="Arial"/>
          <w:sz w:val="24"/>
          <w:szCs w:val="24"/>
        </w:rPr>
        <w:t xml:space="preserve">a. </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En la misma línea, se gestionaron acciones desde los Comités de Convivencia Laboral, con un cumplimiento del 100% en sus metas, durante el semestre; Comité de Gestión Documental, Responsabilidad Social y últimamente con limitaciones, del Comité amplia</w:t>
      </w:r>
      <w:r>
        <w:rPr>
          <w:rFonts w:ascii="Arial Narrow" w:hAnsi="Arial Narrow" w:cs="Arial"/>
          <w:sz w:val="24"/>
          <w:szCs w:val="24"/>
        </w:rPr>
        <w:t>do de Seguridad física EMCALI-Municipio – con asistencia de fuerzas del orden regional; solo una reunión en el presente semestre, cuyo fin debe ser la promoción y ejecución de acciones efectivas permanentes, que den al traste con la aprehensión de la crimi</w:t>
      </w:r>
      <w:r>
        <w:rPr>
          <w:rFonts w:ascii="Arial Narrow" w:hAnsi="Arial Narrow" w:cs="Arial"/>
          <w:sz w:val="24"/>
          <w:szCs w:val="24"/>
        </w:rPr>
        <w:t>nalidad, en pro de la protección de la infraestructura de telecomunicaciones, ante los riesgos actuales de hurto, corte, saboteo a la infraestructura de fibra óptica y robo masivo de cables especialmente de cobre.</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Style w:val="nfasis"/>
          <w:rFonts w:ascii="Arial Narrow" w:hAnsi="Arial Narrow" w:cs="Arial"/>
          <w:i w:val="0"/>
          <w:color w:val="333333"/>
          <w:sz w:val="24"/>
          <w:szCs w:val="24"/>
          <w:shd w:val="clear" w:color="auto" w:fill="FFFFFF"/>
        </w:rPr>
      </w:pPr>
      <w:r>
        <w:rPr>
          <w:rFonts w:ascii="Arial Narrow" w:hAnsi="Arial Narrow" w:cs="Arial"/>
          <w:sz w:val="24"/>
          <w:szCs w:val="24"/>
        </w:rPr>
        <w:t>Durante el primer semestre 2024 fue visib</w:t>
      </w:r>
      <w:r>
        <w:rPr>
          <w:rFonts w:ascii="Arial Narrow" w:hAnsi="Arial Narrow" w:cs="Arial"/>
          <w:sz w:val="24"/>
          <w:szCs w:val="24"/>
        </w:rPr>
        <w:t>le la parálisis de la administración de información del negocio, en aspectos de contenido, publicación en medios digitales y cumplimiento de la Ley 1712 de 2014 o L</w:t>
      </w:r>
      <w:r>
        <w:rPr>
          <w:rStyle w:val="nfasis"/>
          <w:rFonts w:ascii="Arial Narrow" w:hAnsi="Arial Narrow" w:cs="Arial"/>
          <w:i w:val="0"/>
          <w:color w:val="333333"/>
          <w:sz w:val="24"/>
          <w:szCs w:val="24"/>
          <w:shd w:val="clear" w:color="auto" w:fill="FFFFFF"/>
        </w:rPr>
        <w:t>ey de transparencia y del derecho de acceso a la información pública nacional, de acuerdo co</w:t>
      </w:r>
      <w:r>
        <w:rPr>
          <w:rStyle w:val="nfasis"/>
          <w:rFonts w:ascii="Arial Narrow" w:hAnsi="Arial Narrow" w:cs="Arial"/>
          <w:i w:val="0"/>
          <w:color w:val="333333"/>
          <w:sz w:val="24"/>
          <w:szCs w:val="24"/>
          <w:shd w:val="clear" w:color="auto" w:fill="FFFFFF"/>
        </w:rPr>
        <w:t>n lo establecido en los artículos 153 y 241-8 de la Constitución Política, por daños y desactualización del portal corporativo ante la Internet, y la ausencia de una política de actualización de página WEB y de un WEB Master especializado que asegure y gar</w:t>
      </w:r>
      <w:r>
        <w:rPr>
          <w:rStyle w:val="nfasis"/>
          <w:rFonts w:ascii="Arial Narrow" w:hAnsi="Arial Narrow" w:cs="Arial"/>
          <w:i w:val="0"/>
          <w:color w:val="333333"/>
          <w:sz w:val="24"/>
          <w:szCs w:val="24"/>
          <w:shd w:val="clear" w:color="auto" w:fill="FFFFFF"/>
        </w:rPr>
        <w:t xml:space="preserve">antice una adecuada administración de la información ante los medios digitales. </w:t>
      </w:r>
    </w:p>
    <w:p w:rsidR="007A4E6F" w:rsidRDefault="007A4E6F">
      <w:pPr>
        <w:spacing w:after="0" w:line="240" w:lineRule="auto"/>
        <w:jc w:val="both"/>
        <w:rPr>
          <w:rStyle w:val="nfasis"/>
          <w:rFonts w:ascii="Arial Narrow" w:hAnsi="Arial Narrow" w:cs="Arial"/>
          <w:i w:val="0"/>
          <w:color w:val="333333"/>
          <w:sz w:val="24"/>
          <w:szCs w:val="24"/>
          <w:shd w:val="clear" w:color="auto" w:fill="FFFFFF"/>
        </w:rPr>
      </w:pPr>
    </w:p>
    <w:p w:rsidR="007A4E6F" w:rsidRDefault="00CE5478">
      <w:pPr>
        <w:spacing w:after="0" w:line="240" w:lineRule="auto"/>
        <w:jc w:val="both"/>
        <w:rPr>
          <w:rFonts w:ascii="Arial Narrow" w:hAnsi="Arial Narrow" w:cs="Arial"/>
          <w:i/>
          <w:sz w:val="24"/>
          <w:szCs w:val="24"/>
        </w:rPr>
      </w:pPr>
      <w:r>
        <w:rPr>
          <w:rStyle w:val="nfasis"/>
          <w:rFonts w:ascii="Arial Narrow" w:hAnsi="Arial Narrow" w:cs="Arial"/>
          <w:i w:val="0"/>
          <w:color w:val="333333"/>
          <w:sz w:val="24"/>
          <w:szCs w:val="24"/>
          <w:shd w:val="clear" w:color="auto" w:fill="FFFFFF"/>
        </w:rPr>
        <w:t xml:space="preserve">Actividades como la compatibilidad y gestión de contenidos ante múltiples navegadores, la actualización del sitio WEB oficial de la organización, la publicación de contenido </w:t>
      </w:r>
      <w:r>
        <w:rPr>
          <w:rStyle w:val="nfasis"/>
          <w:rFonts w:ascii="Arial Narrow" w:hAnsi="Arial Narrow" w:cs="Arial"/>
          <w:i w:val="0"/>
          <w:color w:val="333333"/>
          <w:sz w:val="24"/>
          <w:szCs w:val="24"/>
          <w:shd w:val="clear" w:color="auto" w:fill="FFFFFF"/>
        </w:rPr>
        <w:t>de difusión a través de canales oficiales portal WEB e Intranet, la publicación oportuna de contenidos de Ley, Gobierno Corporativo, el Registro de Proveedores, valorados como elementos fundamentales de éxito en el entorno digital, estuvieron acéfalas dura</w:t>
      </w:r>
      <w:r>
        <w:rPr>
          <w:rStyle w:val="nfasis"/>
          <w:rFonts w:ascii="Arial Narrow" w:hAnsi="Arial Narrow" w:cs="Arial"/>
          <w:i w:val="0"/>
          <w:color w:val="333333"/>
          <w:sz w:val="24"/>
          <w:szCs w:val="24"/>
          <w:shd w:val="clear" w:color="auto" w:fill="FFFFFF"/>
        </w:rPr>
        <w:t xml:space="preserve">nte el presente período. Son 240 tópicos de Ley, algunas de naturaleza compleja como la trazabilidad de los estados financieros, </w:t>
      </w:r>
      <w:proofErr w:type="spellStart"/>
      <w:r>
        <w:rPr>
          <w:rStyle w:val="nfasis"/>
          <w:rFonts w:ascii="Arial Narrow" w:hAnsi="Arial Narrow" w:cs="Arial"/>
          <w:i w:val="0"/>
          <w:color w:val="333333"/>
          <w:sz w:val="24"/>
          <w:szCs w:val="24"/>
          <w:shd w:val="clear" w:color="auto" w:fill="FFFFFF"/>
        </w:rPr>
        <w:t>plugin´s</w:t>
      </w:r>
      <w:proofErr w:type="spellEnd"/>
      <w:r>
        <w:rPr>
          <w:rStyle w:val="nfasis"/>
          <w:rFonts w:ascii="Arial Narrow" w:hAnsi="Arial Narrow" w:cs="Arial"/>
          <w:i w:val="0"/>
          <w:color w:val="333333"/>
          <w:sz w:val="24"/>
          <w:szCs w:val="24"/>
          <w:shd w:val="clear" w:color="auto" w:fill="FFFFFF"/>
        </w:rPr>
        <w:t xml:space="preserve"> de accesibilidad </w:t>
      </w:r>
      <w:r>
        <w:rPr>
          <w:rFonts w:ascii="Arial Narrow" w:hAnsi="Arial Narrow" w:cs="Arial"/>
          <w:color w:val="040C28"/>
          <w:sz w:val="24"/>
          <w:szCs w:val="24"/>
        </w:rPr>
        <w:t>con el objetivo de ayudar a quienes acceden al sitio o aplicación web oficial de la empresa, además d</w:t>
      </w:r>
      <w:r>
        <w:rPr>
          <w:rFonts w:ascii="Arial Narrow" w:hAnsi="Arial Narrow" w:cs="Arial"/>
          <w:color w:val="040C28"/>
          <w:sz w:val="24"/>
          <w:szCs w:val="24"/>
        </w:rPr>
        <w:t>e</w:t>
      </w:r>
      <w:r>
        <w:rPr>
          <w:rStyle w:val="nfasis"/>
          <w:rFonts w:ascii="Arial Narrow" w:hAnsi="Arial Narrow" w:cs="Arial"/>
          <w:i w:val="0"/>
          <w:color w:val="333333"/>
          <w:sz w:val="24"/>
          <w:szCs w:val="24"/>
          <w:shd w:val="clear" w:color="auto" w:fill="FFFFFF"/>
        </w:rPr>
        <w:t xml:space="preserve"> la ausencia de coherencia con los requerimientos normativos que regularmente solicitan los grupos de valor, proveedores y clientes del negocio, lleva a riesgo de posibles sanciones para la organización, ya que, el sitio WEB es una herramienta de consulta</w:t>
      </w:r>
      <w:r>
        <w:rPr>
          <w:rStyle w:val="nfasis"/>
          <w:rFonts w:ascii="Arial Narrow" w:hAnsi="Arial Narrow" w:cs="Arial"/>
          <w:i w:val="0"/>
          <w:color w:val="333333"/>
          <w:sz w:val="24"/>
          <w:szCs w:val="24"/>
          <w:shd w:val="clear" w:color="auto" w:fill="FFFFFF"/>
        </w:rPr>
        <w:t xml:space="preserve"> utilizada por diversos organismos de control social, fiscal y disciplinario entre otros.  </w:t>
      </w: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 xml:space="preserve"> </w:t>
      </w: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Por su parte, en la componente de Monitoreo, el plan de auditorías internas, durante el primer semestre 2024, ha permitido la generación de recomendaciones de mej</w:t>
      </w:r>
      <w:r>
        <w:rPr>
          <w:rFonts w:ascii="Arial Narrow" w:hAnsi="Arial Narrow" w:cs="Arial"/>
          <w:sz w:val="24"/>
          <w:szCs w:val="24"/>
        </w:rPr>
        <w:t xml:space="preserve">ora, lo cual se ha materializado desde la ejecución de 6 auditorías cumplidas de Ley, dos auditorías específicas, 3 acciones preventivas, y 2 auditorías internas basadas en Gobierno, Riesgos y Controles. Actividades de seguimiento a las </w:t>
      </w:r>
      <w:proofErr w:type="spellStart"/>
      <w:r>
        <w:rPr>
          <w:rFonts w:ascii="Arial Narrow" w:hAnsi="Arial Narrow" w:cs="Arial"/>
          <w:sz w:val="24"/>
          <w:szCs w:val="24"/>
        </w:rPr>
        <w:t>PQR's</w:t>
      </w:r>
      <w:proofErr w:type="spellEnd"/>
      <w:r>
        <w:rPr>
          <w:rFonts w:ascii="Arial Narrow" w:hAnsi="Arial Narrow" w:cs="Arial"/>
          <w:sz w:val="24"/>
          <w:szCs w:val="24"/>
        </w:rPr>
        <w:t>, al cumplimie</w:t>
      </w:r>
      <w:r>
        <w:rPr>
          <w:rFonts w:ascii="Arial Narrow" w:hAnsi="Arial Narrow" w:cs="Arial"/>
          <w:sz w:val="24"/>
          <w:szCs w:val="24"/>
        </w:rPr>
        <w:t>nto de las recomendaciones del archivo general de la nación en materia archivística y del sistema de gestión documental, complementan las actividades de evaluación, valoración y desarrollo del SCI.</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Por lo anterior, El Sistema de Control Interno se mantien</w:t>
      </w:r>
      <w:r>
        <w:rPr>
          <w:rFonts w:ascii="Arial Narrow" w:hAnsi="Arial Narrow" w:cs="Arial"/>
          <w:sz w:val="24"/>
          <w:szCs w:val="24"/>
        </w:rPr>
        <w:t>e en un proceso de mejora continua, doce puntos en promedio desde la primera medición integral de 2019, y que, ha involucrado durante dicho periodo, los conceptos de líneas de defensa. Desde el rol y responsabilidades del Comité de Junta Directiva CAFI, re</w:t>
      </w:r>
      <w:r>
        <w:rPr>
          <w:rFonts w:ascii="Arial Narrow" w:hAnsi="Arial Narrow" w:cs="Arial"/>
          <w:sz w:val="24"/>
          <w:szCs w:val="24"/>
        </w:rPr>
        <w:t>unido tres veces en el presente periodo, sumado a las actuaciones que se adelantaron desde la Junta Directiva, con alto compromiso de los Comités de Auditoría, Financiero y de Auditoría -CAFI-  y Gobierno Corporativo y desde los Comités de Gerencia General</w:t>
      </w:r>
      <w:r>
        <w:rPr>
          <w:rFonts w:ascii="Arial Narrow" w:hAnsi="Arial Narrow" w:cs="Arial"/>
          <w:sz w:val="24"/>
          <w:szCs w:val="24"/>
        </w:rPr>
        <w:t xml:space="preserve">, </w:t>
      </w:r>
      <w:proofErr w:type="spellStart"/>
      <w:r>
        <w:rPr>
          <w:rFonts w:ascii="Arial Narrow" w:hAnsi="Arial Narrow" w:cs="Arial"/>
          <w:sz w:val="24"/>
          <w:szCs w:val="24"/>
        </w:rPr>
        <w:t>UNEs</w:t>
      </w:r>
      <w:proofErr w:type="spellEnd"/>
      <w:r>
        <w:rPr>
          <w:rFonts w:ascii="Arial Narrow" w:hAnsi="Arial Narrow" w:cs="Arial"/>
          <w:sz w:val="24"/>
          <w:szCs w:val="24"/>
        </w:rPr>
        <w:t xml:space="preserve">, se revisan temas relevantes para el </w:t>
      </w:r>
      <w:r>
        <w:rPr>
          <w:rFonts w:ascii="Arial Narrow" w:hAnsi="Arial Narrow" w:cs="Arial"/>
          <w:sz w:val="24"/>
          <w:szCs w:val="24"/>
        </w:rPr>
        <w:lastRenderedPageBreak/>
        <w:t xml:space="preserve">cumplimiento de los planes estratégico y tácticos, apoyado en la “diáspora corporativa”, donde se realiza un seguimiento detallado a las metas y objetivos por negocio. </w:t>
      </w:r>
    </w:p>
    <w:p w:rsidR="007A4E6F" w:rsidRDefault="007A4E6F">
      <w:pPr>
        <w:spacing w:after="0" w:line="240" w:lineRule="auto"/>
        <w:jc w:val="both"/>
        <w:rPr>
          <w:rFonts w:ascii="Arial Narrow" w:hAnsi="Arial Narrow" w:cs="Arial"/>
          <w:sz w:val="24"/>
          <w:szCs w:val="24"/>
        </w:rPr>
      </w:pPr>
    </w:p>
    <w:p w:rsidR="007A4E6F" w:rsidRDefault="00CE5478">
      <w:pPr>
        <w:spacing w:after="0" w:line="240" w:lineRule="auto"/>
        <w:jc w:val="both"/>
        <w:rPr>
          <w:rFonts w:ascii="Arial Narrow" w:hAnsi="Arial Narrow" w:cs="Arial"/>
          <w:sz w:val="24"/>
          <w:szCs w:val="24"/>
        </w:rPr>
      </w:pPr>
      <w:r>
        <w:rPr>
          <w:rFonts w:ascii="Arial Narrow" w:hAnsi="Arial Narrow" w:cs="Arial"/>
          <w:sz w:val="24"/>
          <w:szCs w:val="24"/>
        </w:rPr>
        <w:t xml:space="preserve">Desde la DCI, con el objeto de la mejora </w:t>
      </w:r>
      <w:r>
        <w:rPr>
          <w:rFonts w:ascii="Arial Narrow" w:hAnsi="Arial Narrow" w:cs="Arial"/>
          <w:sz w:val="24"/>
          <w:szCs w:val="24"/>
        </w:rPr>
        <w:t>centrada sistémicamente, en los procesos de la organización, se continúa incorporando el marco de conceptos, basado en las Normas Internacionales de Auditoria Interna NIA, mediante el cual se ha facilitado, la convergencia entre los estándares nacionales e</w:t>
      </w:r>
      <w:r>
        <w:rPr>
          <w:rFonts w:ascii="Arial Narrow" w:hAnsi="Arial Narrow" w:cs="Arial"/>
          <w:sz w:val="24"/>
          <w:szCs w:val="24"/>
        </w:rPr>
        <w:t xml:space="preserve"> internacionales, bajo este precepto, se ejecutaron en el primer semestre 2024, 2 auditorías basadas en Gobierno, riesgos y controles, lo cual ha generado oportunidades de mejora que deben ser atendidas en el corto y mediano plazo; con evaluación y ajuste </w:t>
      </w:r>
      <w:r>
        <w:rPr>
          <w:rFonts w:ascii="Arial Narrow" w:hAnsi="Arial Narrow" w:cs="Arial"/>
          <w:sz w:val="24"/>
          <w:szCs w:val="24"/>
        </w:rPr>
        <w:t>de desviaciones en el diseño, ejecución y efectividad de los controles de procesos y subprocesos, para coadyuvar al cumplimiento de la misión empresarial y en especial, al fortalecimiento del control preventivo.</w:t>
      </w:r>
    </w:p>
    <w:p w:rsidR="007A4E6F" w:rsidRDefault="007A4E6F">
      <w:pPr>
        <w:spacing w:after="0" w:line="240" w:lineRule="auto"/>
        <w:jc w:val="both"/>
        <w:rPr>
          <w:rFonts w:ascii="Arial Narrow" w:hAnsi="Arial Narrow" w:cs="Arial"/>
          <w:sz w:val="24"/>
          <w:szCs w:val="24"/>
        </w:rPr>
      </w:pPr>
    </w:p>
    <w:p w:rsidR="007A4E6F" w:rsidRDefault="00CE5478">
      <w:pPr>
        <w:jc w:val="both"/>
        <w:rPr>
          <w:rFonts w:ascii="Arial Narrow" w:hAnsi="Arial Narrow" w:cs="Arial"/>
          <w:sz w:val="24"/>
          <w:szCs w:val="24"/>
        </w:rPr>
      </w:pPr>
      <w:r>
        <w:rPr>
          <w:rFonts w:ascii="Arial Narrow" w:hAnsi="Arial Narrow" w:cs="Arial"/>
          <w:sz w:val="24"/>
          <w:szCs w:val="24"/>
        </w:rPr>
        <w:t xml:space="preserve">Finalmente, la DCI con fecha mayo 28 2024, </w:t>
      </w:r>
      <w:r>
        <w:rPr>
          <w:rFonts w:ascii="Arial Narrow" w:hAnsi="Arial Narrow" w:cs="Arial"/>
          <w:sz w:val="24"/>
          <w:szCs w:val="24"/>
        </w:rPr>
        <w:t xml:space="preserve">estableció la metodología para la realización, de manera objetiva e independiente, de las auditorías internas de seguimiento programadas durante cada vigencia, provenientes del universo de auditorías priorizado, las auditorías específicas y las auditorías </w:t>
      </w:r>
      <w:r>
        <w:rPr>
          <w:rFonts w:ascii="Arial Narrow" w:hAnsi="Arial Narrow" w:cs="Arial"/>
          <w:sz w:val="24"/>
          <w:szCs w:val="24"/>
        </w:rPr>
        <w:t>a proveedores de aseguramiento, con un enfoque sistemático y disciplinado de gestión de riesgos, controles y gobierno, con el propósito de agregar valor, mejorar los procesos y contribuir al cumplimiento de los objetivos institucionales.</w:t>
      </w:r>
    </w:p>
    <w:p w:rsidR="007A4E6F" w:rsidRDefault="00CE5478">
      <w:pPr>
        <w:jc w:val="both"/>
        <w:rPr>
          <w:rFonts w:ascii="Arial Narrow" w:hAnsi="Arial Narrow" w:cs="Arial"/>
          <w:sz w:val="24"/>
          <w:szCs w:val="24"/>
        </w:rPr>
      </w:pPr>
      <w:r>
        <w:rPr>
          <w:rFonts w:ascii="Arial Narrow" w:hAnsi="Arial Narrow" w:cs="Arial"/>
          <w:sz w:val="24"/>
          <w:szCs w:val="24"/>
        </w:rPr>
        <w:t>La evaluación Inde</w:t>
      </w:r>
      <w:r>
        <w:rPr>
          <w:rFonts w:ascii="Arial Narrow" w:hAnsi="Arial Narrow" w:cs="Arial"/>
          <w:sz w:val="24"/>
          <w:szCs w:val="24"/>
        </w:rPr>
        <w:t>pendiente del Sistema de Control Interno, por componentes, muestra el siguiente estado de desarrollo al 30 de junio 2024:</w:t>
      </w:r>
    </w:p>
    <w:p w:rsidR="007A4E6F" w:rsidRDefault="00CE5478">
      <w:pPr>
        <w:pStyle w:val="Prrafodelista"/>
        <w:numPr>
          <w:ilvl w:val="0"/>
          <w:numId w:val="2"/>
        </w:numPr>
        <w:ind w:left="284" w:hanging="284"/>
        <w:jc w:val="both"/>
        <w:rPr>
          <w:rFonts w:ascii="Arial Narrow" w:hAnsi="Arial Narrow"/>
          <w:b/>
          <w:sz w:val="24"/>
          <w:szCs w:val="24"/>
          <w:highlight w:val="yellow"/>
        </w:rPr>
      </w:pPr>
      <w:r>
        <w:rPr>
          <w:rFonts w:ascii="Arial Narrow" w:hAnsi="Arial Narrow"/>
          <w:b/>
          <w:sz w:val="24"/>
          <w:szCs w:val="24"/>
          <w:highlight w:val="yellow"/>
        </w:rPr>
        <w:t>AMBIENTE DE CONTROL</w:t>
      </w:r>
    </w:p>
    <w:p w:rsidR="007A4E6F" w:rsidRDefault="00CE5478">
      <w:pPr>
        <w:jc w:val="both"/>
        <w:rPr>
          <w:rFonts w:ascii="Arial Narrow" w:hAnsi="Arial Narrow"/>
          <w:b/>
          <w:sz w:val="24"/>
          <w:szCs w:val="24"/>
          <w:highlight w:val="yellow"/>
        </w:rPr>
      </w:pPr>
      <w:r>
        <w:rPr>
          <w:rFonts w:ascii="Arial Narrow" w:hAnsi="Arial Narrow"/>
          <w:b/>
          <w:sz w:val="24"/>
          <w:szCs w:val="24"/>
          <w:highlight w:val="yellow"/>
        </w:rPr>
        <w:t>CALIFICACIÓN DEL COMPONENTE: 91,67%</w:t>
      </w:r>
    </w:p>
    <w:p w:rsidR="007A4E6F" w:rsidRDefault="00CE5478">
      <w:pPr>
        <w:jc w:val="both"/>
        <w:rPr>
          <w:rFonts w:ascii="Arial Narrow" w:hAnsi="Arial Narrow"/>
          <w:b/>
          <w:sz w:val="24"/>
          <w:szCs w:val="24"/>
          <w:highlight w:val="yellow"/>
        </w:rPr>
      </w:pPr>
      <w:r>
        <w:rPr>
          <w:rFonts w:ascii="Arial Narrow" w:hAnsi="Arial Narrow"/>
          <w:b/>
          <w:sz w:val="24"/>
          <w:szCs w:val="24"/>
          <w:highlight w:val="yellow"/>
        </w:rPr>
        <w:t>CALIFICACIÓN ANTERIOR: 91,67%</w:t>
      </w:r>
    </w:p>
    <w:p w:rsidR="00767010" w:rsidRPr="00767010" w:rsidRDefault="00767010" w:rsidP="00767010">
      <w:pPr>
        <w:spacing w:after="0" w:line="240" w:lineRule="auto"/>
        <w:jc w:val="both"/>
        <w:rPr>
          <w:rFonts w:ascii="Arial Narrow" w:hAnsi="Arial Narrow"/>
          <w:sz w:val="24"/>
          <w:szCs w:val="24"/>
        </w:rPr>
      </w:pPr>
      <w:r w:rsidRPr="00767010">
        <w:rPr>
          <w:rFonts w:ascii="Arial Narrow" w:hAnsi="Arial Narrow"/>
          <w:sz w:val="24"/>
          <w:szCs w:val="24"/>
        </w:rPr>
        <w:t xml:space="preserve">El componente se mantuvo estable. Los instrumentos aprobados en el ámbito del Gobierno Corporativo han permitido dinamizar el compromiso de la organización con el Ambiente de Control. Dichos instrumentos, continúan dentro de un modelo de articulación con el sistema </w:t>
      </w:r>
      <w:proofErr w:type="spellStart"/>
      <w:r w:rsidRPr="00767010">
        <w:rPr>
          <w:rFonts w:ascii="Arial Narrow" w:hAnsi="Arial Narrow"/>
          <w:sz w:val="24"/>
          <w:szCs w:val="24"/>
        </w:rPr>
        <w:t>Mi</w:t>
      </w:r>
      <w:r>
        <w:rPr>
          <w:rFonts w:ascii="Arial Narrow" w:hAnsi="Arial Narrow"/>
          <w:sz w:val="24"/>
          <w:szCs w:val="24"/>
        </w:rPr>
        <w:t>P</w:t>
      </w:r>
      <w:r w:rsidRPr="00767010">
        <w:rPr>
          <w:rFonts w:ascii="Arial Narrow" w:hAnsi="Arial Narrow"/>
          <w:sz w:val="24"/>
          <w:szCs w:val="24"/>
        </w:rPr>
        <w:t>G</w:t>
      </w:r>
      <w:proofErr w:type="spellEnd"/>
      <w:r w:rsidRPr="00767010">
        <w:rPr>
          <w:rFonts w:ascii="Arial Narrow" w:hAnsi="Arial Narrow"/>
          <w:sz w:val="24"/>
          <w:szCs w:val="24"/>
        </w:rPr>
        <w:t xml:space="preserve"> en toda su extensión, como son: Código Gobierno Corporativo, Política de control Interno, Estatuto de auditoria, Manual de contratación, Modificación de los Estatutos, de Estructura Organizacional. Cambios en Planta de cargos y estructura salarial. Definición de Trabajador Oficial y Empleado Público, MOP. </w:t>
      </w:r>
    </w:p>
    <w:p w:rsidR="00767010" w:rsidRPr="00767010" w:rsidRDefault="00767010" w:rsidP="00767010">
      <w:pPr>
        <w:spacing w:after="0" w:line="240" w:lineRule="auto"/>
        <w:jc w:val="both"/>
        <w:rPr>
          <w:rFonts w:ascii="Arial Narrow" w:hAnsi="Arial Narrow"/>
          <w:sz w:val="24"/>
          <w:szCs w:val="24"/>
        </w:rPr>
      </w:pPr>
    </w:p>
    <w:p w:rsidR="00767010" w:rsidRPr="00767010" w:rsidRDefault="00767010" w:rsidP="00767010">
      <w:pPr>
        <w:spacing w:after="0" w:line="240" w:lineRule="auto"/>
        <w:jc w:val="both"/>
        <w:rPr>
          <w:rFonts w:ascii="Arial Narrow" w:hAnsi="Arial Narrow"/>
          <w:sz w:val="24"/>
          <w:szCs w:val="24"/>
        </w:rPr>
      </w:pPr>
      <w:r w:rsidRPr="00767010">
        <w:rPr>
          <w:rFonts w:ascii="Arial Narrow" w:hAnsi="Arial Narrow"/>
          <w:sz w:val="24"/>
          <w:szCs w:val="24"/>
        </w:rPr>
        <w:t>Asimismo, a partir de la Resolución No. 100000262 de junio 4 de 2020, que estableció los lineamientos para la Declaración y Trámite de Conflictos de Interés en EMCALI E.I.C.E E.S.P, desde la Secretaria General y la Coordinación de Gobierno Corporativo, se continúa con el diseño e implementación de un procedimiento, con registro en el sistema DARUMA, de definición de roles y competencias, y continuar con la socialización y sensibilización a toda la empresa en este tema importante para la organización.</w:t>
      </w:r>
    </w:p>
    <w:p w:rsidR="00767010" w:rsidRPr="00767010" w:rsidRDefault="00767010" w:rsidP="00767010">
      <w:pPr>
        <w:spacing w:after="0" w:line="240" w:lineRule="auto"/>
        <w:jc w:val="both"/>
        <w:rPr>
          <w:rFonts w:ascii="Arial Narrow" w:hAnsi="Arial Narrow"/>
          <w:sz w:val="24"/>
          <w:szCs w:val="24"/>
        </w:rPr>
      </w:pPr>
    </w:p>
    <w:p w:rsidR="00767010" w:rsidRPr="00767010" w:rsidRDefault="00767010" w:rsidP="00767010">
      <w:pPr>
        <w:spacing w:after="0" w:line="240" w:lineRule="auto"/>
        <w:jc w:val="both"/>
        <w:rPr>
          <w:rFonts w:ascii="Arial Narrow" w:hAnsi="Arial Narrow"/>
          <w:sz w:val="24"/>
          <w:szCs w:val="24"/>
        </w:rPr>
      </w:pPr>
      <w:r w:rsidRPr="00767010">
        <w:rPr>
          <w:rFonts w:ascii="Arial Narrow" w:hAnsi="Arial Narrow"/>
          <w:sz w:val="24"/>
          <w:szCs w:val="24"/>
        </w:rPr>
        <w:t xml:space="preserve">De destaca como aspecto negativo, en el presente periodo, la limitación e incumplimiento de norma interno, que ha tenido los Comités de Ciclos de Servicio, dos por servicio en la presente vigencia, los cuales han presentado una caracterización limitada en la cadena de valor de su comportamiento, desde la medición hasta la facturación y el posterior seguimiento de la cartera empresarial. </w:t>
      </w:r>
    </w:p>
    <w:p w:rsidR="00767010" w:rsidRPr="00767010" w:rsidRDefault="00767010" w:rsidP="00767010">
      <w:pPr>
        <w:spacing w:after="0" w:line="240" w:lineRule="auto"/>
        <w:jc w:val="both"/>
        <w:rPr>
          <w:rFonts w:ascii="Arial Narrow" w:hAnsi="Arial Narrow"/>
          <w:sz w:val="24"/>
          <w:szCs w:val="24"/>
        </w:rPr>
      </w:pPr>
    </w:p>
    <w:p w:rsidR="00767010" w:rsidRPr="00767010" w:rsidRDefault="00767010" w:rsidP="00767010">
      <w:pPr>
        <w:spacing w:after="0" w:line="240" w:lineRule="auto"/>
        <w:jc w:val="both"/>
        <w:rPr>
          <w:rFonts w:ascii="Arial Narrow" w:hAnsi="Arial Narrow"/>
          <w:sz w:val="24"/>
          <w:szCs w:val="24"/>
          <w:highlight w:val="yellow"/>
        </w:rPr>
      </w:pPr>
      <w:r w:rsidRPr="00767010">
        <w:rPr>
          <w:rFonts w:ascii="Arial Narrow" w:hAnsi="Arial Narrow"/>
          <w:sz w:val="24"/>
          <w:szCs w:val="24"/>
        </w:rPr>
        <w:t xml:space="preserve">Se continúa presentando un comportamiento crítico del servicio de Telecomunicaciones, por el incumplimiento significativo de metas y objetivos de dicho servicio. Ha sido reiterado, </w:t>
      </w:r>
      <w:r>
        <w:rPr>
          <w:rFonts w:ascii="Arial Narrow" w:hAnsi="Arial Narrow"/>
          <w:sz w:val="24"/>
          <w:szCs w:val="24"/>
        </w:rPr>
        <w:t>e</w:t>
      </w:r>
      <w:r w:rsidRPr="00767010">
        <w:rPr>
          <w:rFonts w:ascii="Arial Narrow" w:hAnsi="Arial Narrow"/>
          <w:sz w:val="24"/>
          <w:szCs w:val="24"/>
        </w:rPr>
        <w:t xml:space="preserve">n la presente </w:t>
      </w:r>
      <w:r w:rsidRPr="00767010">
        <w:rPr>
          <w:rFonts w:ascii="Arial Narrow" w:hAnsi="Arial Narrow"/>
          <w:sz w:val="24"/>
          <w:szCs w:val="24"/>
        </w:rPr>
        <w:lastRenderedPageBreak/>
        <w:t>vigencia, el aumento continuado de hurto y vandalismo de la infraestructura especialmente de cobre, lo cual continúa afectando en alto grado el desempeño del mismo. Se tiene en el momento una caracterización detallada de dicho comportamiento la cual se ha elevado al Comité de Seguridad y Vigilancia Distrital, una sola vez en la presente vigencia, y a las fuerzas vivas del orden para su análisis y toma de decisiones acorde con la realidad de los hechos, detallado por la Unidad de Aseguramiento</w:t>
      </w:r>
      <w:r>
        <w:rPr>
          <w:rFonts w:ascii="Arial Narrow" w:hAnsi="Arial Narrow"/>
          <w:sz w:val="24"/>
          <w:szCs w:val="24"/>
        </w:rPr>
        <w:t xml:space="preserve"> del servicio</w:t>
      </w:r>
      <w:r w:rsidRPr="00767010">
        <w:rPr>
          <w:rFonts w:ascii="Arial Narrow" w:hAnsi="Arial Narrow"/>
          <w:sz w:val="24"/>
          <w:szCs w:val="24"/>
        </w:rPr>
        <w:t xml:space="preserve">. Es imperativo la problemática actual del </w:t>
      </w:r>
      <w:r w:rsidRPr="00767010">
        <w:rPr>
          <w:rFonts w:ascii="Arial Narrow" w:hAnsi="Arial Narrow"/>
          <w:b/>
          <w:sz w:val="24"/>
          <w:szCs w:val="24"/>
        </w:rPr>
        <w:t>indicador tiempo medio de reparación</w:t>
      </w:r>
      <w:r w:rsidRPr="00767010">
        <w:rPr>
          <w:rFonts w:ascii="Arial Narrow" w:hAnsi="Arial Narrow"/>
          <w:sz w:val="24"/>
          <w:szCs w:val="24"/>
        </w:rPr>
        <w:t>, especialmente en el servicio de telecomunicaciones, lo cual ha impedido con celeridad la atención de reparación, de un gran parque de clientes del negocio, afectados por daños.</w:t>
      </w:r>
    </w:p>
    <w:p w:rsidR="00767010" w:rsidRDefault="00767010">
      <w:pPr>
        <w:jc w:val="both"/>
        <w:rPr>
          <w:rFonts w:ascii="Arial Narrow" w:hAnsi="Arial Narrow"/>
          <w:b/>
          <w:sz w:val="24"/>
          <w:szCs w:val="24"/>
          <w:highlight w:val="yellow"/>
        </w:rPr>
      </w:pPr>
    </w:p>
    <w:p w:rsidR="007A4E6F" w:rsidRDefault="00CE5478">
      <w:pPr>
        <w:jc w:val="both"/>
        <w:rPr>
          <w:rFonts w:ascii="Arial Narrow" w:hAnsi="Arial Narrow"/>
          <w:b/>
          <w:sz w:val="24"/>
          <w:szCs w:val="24"/>
        </w:rPr>
      </w:pPr>
      <w:r>
        <w:rPr>
          <w:rFonts w:ascii="Arial Narrow" w:hAnsi="Arial Narrow"/>
          <w:b/>
          <w:sz w:val="24"/>
          <w:szCs w:val="24"/>
          <w:highlight w:val="yellow"/>
        </w:rPr>
        <w:t>2. E</w:t>
      </w:r>
      <w:r>
        <w:rPr>
          <w:rFonts w:ascii="Arial Narrow" w:hAnsi="Arial Narrow"/>
          <w:b/>
          <w:sz w:val="24"/>
          <w:szCs w:val="24"/>
          <w:highlight w:val="yellow"/>
        </w:rPr>
        <w:t>VALUACIÓN DEL RIESGO</w:t>
      </w:r>
    </w:p>
    <w:p w:rsidR="007A4E6F" w:rsidRDefault="00CE5478">
      <w:pPr>
        <w:jc w:val="both"/>
        <w:rPr>
          <w:rFonts w:ascii="Arial Narrow" w:hAnsi="Arial Narrow"/>
          <w:b/>
          <w:sz w:val="24"/>
          <w:szCs w:val="24"/>
          <w:highlight w:val="yellow"/>
        </w:rPr>
      </w:pPr>
      <w:r>
        <w:rPr>
          <w:rFonts w:ascii="Arial Narrow" w:hAnsi="Arial Narrow"/>
          <w:b/>
          <w:sz w:val="24"/>
          <w:szCs w:val="24"/>
          <w:highlight w:val="yellow"/>
        </w:rPr>
        <w:t>CALIFICACIÓN DEL COMPONENTE: 82,35%</w:t>
      </w:r>
    </w:p>
    <w:p w:rsidR="007A4E6F" w:rsidRDefault="00CE5478">
      <w:pPr>
        <w:jc w:val="both"/>
        <w:rPr>
          <w:rFonts w:ascii="Arial Narrow" w:hAnsi="Arial Narrow"/>
          <w:b/>
          <w:sz w:val="24"/>
          <w:szCs w:val="24"/>
          <w:highlight w:val="yellow"/>
        </w:rPr>
      </w:pPr>
      <w:r>
        <w:rPr>
          <w:rFonts w:ascii="Arial Narrow" w:hAnsi="Arial Narrow"/>
          <w:b/>
          <w:sz w:val="24"/>
          <w:szCs w:val="24"/>
          <w:highlight w:val="yellow"/>
        </w:rPr>
        <w:t>CALIFICACIÓN ANTERIOR: 94,12%</w:t>
      </w:r>
    </w:p>
    <w:p w:rsidR="003038FA" w:rsidRPr="003038FA" w:rsidRDefault="003038FA" w:rsidP="003038FA">
      <w:pPr>
        <w:spacing w:after="0" w:line="240" w:lineRule="auto"/>
        <w:jc w:val="both"/>
        <w:rPr>
          <w:rFonts w:ascii="Arial Narrow" w:hAnsi="Arial Narrow"/>
          <w:sz w:val="24"/>
          <w:szCs w:val="24"/>
        </w:rPr>
      </w:pPr>
      <w:r w:rsidRPr="003038FA">
        <w:rPr>
          <w:rFonts w:ascii="Arial Narrow" w:hAnsi="Arial Narrow"/>
          <w:sz w:val="24"/>
          <w:szCs w:val="24"/>
        </w:rPr>
        <w:t xml:space="preserve">El componente bajó 12 puntos, en relación con el informe anterior. EMCALI EICE ESP., a través de la Subgerencia de Planeación Corporativa, en concordancia con la estructura de la Política de Administración del Riesgo, dando alcance al ordenamiento legal, tiene definido lineamientos para toda la entidad, que incluye regionales, áreas </w:t>
      </w:r>
      <w:proofErr w:type="spellStart"/>
      <w:r w:rsidRPr="003038FA">
        <w:rPr>
          <w:rFonts w:ascii="Arial Narrow" w:hAnsi="Arial Narrow"/>
          <w:sz w:val="24"/>
          <w:szCs w:val="24"/>
        </w:rPr>
        <w:t>tercerizadas</w:t>
      </w:r>
      <w:proofErr w:type="spellEnd"/>
      <w:r w:rsidRPr="003038FA">
        <w:rPr>
          <w:rFonts w:ascii="Arial Narrow" w:hAnsi="Arial Narrow"/>
          <w:sz w:val="24"/>
          <w:szCs w:val="24"/>
        </w:rPr>
        <w:t xml:space="preserve"> u otras instancias que afectan la prestación del servicio. Por tal motivo, implementó el modelo de Gestión Integral del Riesgo, con metodología aplicada a toda la organización, apoyada en el Modelo de Operación por Procesos (MOP), cuyo alcance contiene los lineamientos para toda la entidad, e incluye los Riesgos Estratégicos, por procesos y subprocesos, los cuales involucra a cada una de las tres unidades de negocio, cinco gerencias de soporte y la gerencia general.</w:t>
      </w:r>
    </w:p>
    <w:p w:rsidR="003038FA" w:rsidRPr="003038FA" w:rsidRDefault="003038FA" w:rsidP="003038FA">
      <w:pPr>
        <w:spacing w:after="0" w:line="240" w:lineRule="auto"/>
        <w:jc w:val="both"/>
        <w:rPr>
          <w:rFonts w:ascii="Arial Narrow" w:hAnsi="Arial Narrow"/>
          <w:sz w:val="24"/>
          <w:szCs w:val="24"/>
        </w:rPr>
      </w:pPr>
    </w:p>
    <w:p w:rsidR="003038FA" w:rsidRPr="003038FA" w:rsidRDefault="003038FA" w:rsidP="003038FA">
      <w:pPr>
        <w:spacing w:after="0" w:line="240" w:lineRule="auto"/>
        <w:jc w:val="both"/>
        <w:rPr>
          <w:rFonts w:ascii="Arial Narrow" w:hAnsi="Arial Narrow"/>
          <w:sz w:val="24"/>
          <w:szCs w:val="24"/>
        </w:rPr>
      </w:pPr>
      <w:r w:rsidRPr="003038FA">
        <w:rPr>
          <w:rFonts w:ascii="Arial Narrow" w:hAnsi="Arial Narrow"/>
          <w:sz w:val="24"/>
          <w:szCs w:val="24"/>
        </w:rPr>
        <w:t xml:space="preserve">Al primer semestre 2024, la entidad tiene identificados los escenarios de riesgo, los cuales cuenta con los procesos y procedimientos y el diseño de formatos de seguimiento a la Gestión Integral del Riesgo. Los controles diseñados y ejecutados que blindan la materialización del riesgo, son valorados trimestralmente por cada responsable de la gestión del riesgo, atendiendo la recomendación dada por la guía DAFP. Durante la vigencia 2024, la Subgerencia de Planeación y Desarrollo Empresarial ha presentado dos informes institucionales sobre evaluación del Riesgo empresarial por proceso, con revisión de los mapas de riesgo. </w:t>
      </w:r>
    </w:p>
    <w:p w:rsidR="003038FA" w:rsidRPr="003038FA" w:rsidRDefault="003038FA" w:rsidP="003038FA">
      <w:pPr>
        <w:spacing w:after="0" w:line="240" w:lineRule="auto"/>
        <w:jc w:val="both"/>
        <w:rPr>
          <w:rFonts w:ascii="Arial Narrow" w:hAnsi="Arial Narrow"/>
          <w:sz w:val="24"/>
          <w:szCs w:val="24"/>
        </w:rPr>
      </w:pPr>
    </w:p>
    <w:p w:rsidR="003038FA" w:rsidRPr="003038FA" w:rsidRDefault="003038FA" w:rsidP="003038FA">
      <w:pPr>
        <w:spacing w:after="0" w:line="240" w:lineRule="auto"/>
        <w:jc w:val="both"/>
        <w:rPr>
          <w:rFonts w:ascii="Arial Narrow" w:hAnsi="Arial Narrow"/>
          <w:sz w:val="24"/>
          <w:szCs w:val="24"/>
        </w:rPr>
      </w:pPr>
      <w:r w:rsidRPr="003038FA">
        <w:rPr>
          <w:rFonts w:ascii="Arial Narrow" w:hAnsi="Arial Narrow"/>
          <w:sz w:val="24"/>
          <w:szCs w:val="24"/>
        </w:rPr>
        <w:t xml:space="preserve">La Empresa igualmente tiene mapeado los riesgos del entorno y los diferentes factores que allí confluyen; el entorno financiero, la política y la competencia, entre otros, los cuales constituyen elementos que representan riesgos a la compañía en mayor o menor grado. Los riesgos relacionados con el tema de la ciberseguridad informática no han sido incorporados aún en el momento. Los estándares internacionales plantean la necesidad actual de contar con planes de tratamiento, que facilite su identificación, impacto y la forma de mitigarlos, reducirlos o eliminarlos, representados en EMCALI por su gestión integral. </w:t>
      </w:r>
    </w:p>
    <w:p w:rsidR="003038FA" w:rsidRPr="003038FA" w:rsidRDefault="003038FA" w:rsidP="003038FA">
      <w:pPr>
        <w:spacing w:after="0" w:line="240" w:lineRule="auto"/>
        <w:jc w:val="both"/>
        <w:rPr>
          <w:rFonts w:ascii="Arial Narrow" w:hAnsi="Arial Narrow"/>
          <w:sz w:val="24"/>
          <w:szCs w:val="24"/>
        </w:rPr>
      </w:pPr>
    </w:p>
    <w:p w:rsidR="003038FA" w:rsidRPr="003038FA" w:rsidRDefault="003038FA" w:rsidP="003038FA">
      <w:pPr>
        <w:spacing w:after="0" w:line="240" w:lineRule="auto"/>
        <w:jc w:val="both"/>
        <w:rPr>
          <w:rFonts w:ascii="Arial Narrow" w:hAnsi="Arial Narrow"/>
          <w:sz w:val="24"/>
          <w:szCs w:val="24"/>
        </w:rPr>
      </w:pPr>
      <w:r w:rsidRPr="003038FA">
        <w:rPr>
          <w:rFonts w:ascii="Arial Narrow" w:hAnsi="Arial Narrow"/>
          <w:sz w:val="24"/>
          <w:szCs w:val="24"/>
        </w:rPr>
        <w:t>Es imperativo recordar que la gestión de riesgos, como disciplina en el quehacer empresarial, se basa en una serie de estrategias que permiten prevenir la materialización de eventos que puedan afectar el logro de sus objetivos o disminuir su consecuencia en caso de que llegaran a materializarse. En la administración pública dicha gestión es de obligatoria exigencia por el Departamento Administrativo de la Función Pública, como parte integral del fortalecimiento de los sistemas de control interno, en las entidades públicas.</w:t>
      </w:r>
    </w:p>
    <w:p w:rsidR="003038FA" w:rsidRPr="003038FA" w:rsidRDefault="003038FA" w:rsidP="003038FA">
      <w:pPr>
        <w:spacing w:after="0" w:line="240" w:lineRule="auto"/>
        <w:jc w:val="both"/>
        <w:rPr>
          <w:rFonts w:ascii="Arial Narrow" w:hAnsi="Arial Narrow"/>
          <w:sz w:val="24"/>
          <w:szCs w:val="24"/>
        </w:rPr>
      </w:pPr>
    </w:p>
    <w:p w:rsidR="003038FA" w:rsidRPr="003038FA" w:rsidRDefault="003038FA" w:rsidP="003038FA">
      <w:pPr>
        <w:spacing w:after="0" w:line="240" w:lineRule="auto"/>
        <w:jc w:val="both"/>
        <w:rPr>
          <w:rFonts w:ascii="Arial Narrow" w:hAnsi="Arial Narrow"/>
          <w:sz w:val="24"/>
          <w:szCs w:val="24"/>
        </w:rPr>
      </w:pPr>
      <w:r w:rsidRPr="003038FA">
        <w:rPr>
          <w:rFonts w:ascii="Arial Narrow" w:hAnsi="Arial Narrow"/>
          <w:sz w:val="24"/>
          <w:szCs w:val="24"/>
        </w:rPr>
        <w:lastRenderedPageBreak/>
        <w:t xml:space="preserve">Durante el primer semestre 2024, se ha hecho evidente, la deficiencia reiterada de la estructura del control de las tecnologías de información, lo cual se ha materializado en ataques reiterados a la infraestructura tecnológica y al sistema de seguridad informática, lo cual afectó y castigó cerca de dos puntos (1,75%), el componente de Información y Comunicación y en 12 puntos la </w:t>
      </w:r>
      <w:r w:rsidRPr="003038FA">
        <w:rPr>
          <w:rFonts w:ascii="Arial Narrow" w:hAnsi="Arial Narrow"/>
          <w:sz w:val="24"/>
          <w:szCs w:val="24"/>
        </w:rPr>
        <w:t>evaluación</w:t>
      </w:r>
      <w:r w:rsidRPr="003038FA">
        <w:rPr>
          <w:rFonts w:ascii="Arial Narrow" w:hAnsi="Arial Narrow"/>
          <w:sz w:val="24"/>
          <w:szCs w:val="24"/>
        </w:rPr>
        <w:t xml:space="preserve"> de riesgos, en relación con </w:t>
      </w:r>
      <w:r>
        <w:rPr>
          <w:rFonts w:ascii="Arial Narrow" w:hAnsi="Arial Narrow"/>
          <w:sz w:val="24"/>
          <w:szCs w:val="24"/>
        </w:rPr>
        <w:t>la medición d</w:t>
      </w:r>
      <w:r w:rsidRPr="003038FA">
        <w:rPr>
          <w:rFonts w:ascii="Arial Narrow" w:hAnsi="Arial Narrow"/>
          <w:sz w:val="24"/>
          <w:szCs w:val="24"/>
        </w:rPr>
        <w:t>el semestre anterior. El ataque perpetuado el domingo 9 de junio de 2024, a las 9:30 am., aprox., afectó parte de la infraestructura de soporte tecnológico de la organización, especialmente de servidores, redes del sistema eléctrico, equipos de infraestructura, para el cual de inmediato se activó un protocolo de salvaguarda activa y aislamiento de tecnologías conectadas a los sistemas centrales, y la ejecución de un protocolo de aislamiento, que evitó la propagación del malware. Todas las actividades, tal como fue notificado a la DCI, por el Gerente de Área de la Gerencia de Área de Tecnología de Información GTI, fueron reactivas, por lo que, se materializó el riesgo de infección informática.</w:t>
      </w:r>
    </w:p>
    <w:p w:rsidR="003038FA" w:rsidRPr="003038FA" w:rsidRDefault="003038FA" w:rsidP="003038FA">
      <w:pPr>
        <w:spacing w:after="0" w:line="240" w:lineRule="auto"/>
        <w:jc w:val="both"/>
        <w:rPr>
          <w:rFonts w:ascii="Arial Narrow" w:hAnsi="Arial Narrow"/>
          <w:sz w:val="24"/>
          <w:szCs w:val="24"/>
        </w:rPr>
      </w:pPr>
    </w:p>
    <w:p w:rsidR="003038FA" w:rsidRPr="003038FA" w:rsidRDefault="003038FA" w:rsidP="003038FA">
      <w:pPr>
        <w:spacing w:after="0" w:line="240" w:lineRule="auto"/>
        <w:jc w:val="both"/>
        <w:rPr>
          <w:rFonts w:ascii="Arial Narrow" w:hAnsi="Arial Narrow"/>
          <w:sz w:val="24"/>
          <w:szCs w:val="24"/>
        </w:rPr>
      </w:pPr>
      <w:r w:rsidRPr="003038FA">
        <w:rPr>
          <w:rFonts w:ascii="Arial Narrow" w:hAnsi="Arial Narrow"/>
          <w:sz w:val="24"/>
          <w:szCs w:val="24"/>
        </w:rPr>
        <w:t xml:space="preserve">Asimismo, fue evidente en la presente vigencia, la parálisis de la administración de información del negocio, en aspectos de contenido, publicación en medios digitales y cumplimiento de la Ley 1712 de 2014 o Ley de transparencia y del derecho de acceso a la información pública, por daños y desactualización del portal corporativo ante la Internet, y la ausencia de una política de actualización de página WEB y de un WEB Master especializado que asegure y garantice una adecuada administración de la información ante los medios digitales. </w:t>
      </w:r>
    </w:p>
    <w:p w:rsidR="003038FA" w:rsidRPr="003038FA" w:rsidRDefault="003038FA" w:rsidP="003038FA">
      <w:pPr>
        <w:spacing w:after="0" w:line="240" w:lineRule="auto"/>
        <w:jc w:val="both"/>
        <w:rPr>
          <w:rFonts w:ascii="Arial Narrow" w:hAnsi="Arial Narrow"/>
          <w:sz w:val="24"/>
          <w:szCs w:val="24"/>
        </w:rPr>
      </w:pPr>
    </w:p>
    <w:p w:rsidR="007A4E6F" w:rsidRDefault="003038FA" w:rsidP="003038FA">
      <w:pPr>
        <w:spacing w:after="0" w:line="240" w:lineRule="auto"/>
        <w:jc w:val="both"/>
        <w:rPr>
          <w:rFonts w:ascii="Arial Narrow" w:hAnsi="Arial Narrow"/>
          <w:sz w:val="24"/>
          <w:szCs w:val="24"/>
        </w:rPr>
      </w:pPr>
      <w:r w:rsidRPr="003038FA">
        <w:rPr>
          <w:rFonts w:ascii="Arial Narrow" w:hAnsi="Arial Narrow"/>
          <w:sz w:val="24"/>
          <w:szCs w:val="24"/>
        </w:rPr>
        <w:t>La DCI, por su parte como 3a. Línea de Defensa, y mandato de norma, realiza un seguimiento cuatrimestral a los riesgos de corrupción el cual se publica en la página WEB a través del enlace: https://emcali.com.co/transparencia/seguimiento-plan-anticorrupcion, y https://www.emcali.com.co/documents/20143/1239658/Primer+Seguimiento+PAAC+2022.pdf/ donde se detalla un primer seguimiento en la vigencia 2024. La organización viene operando con base en el nuevo Modelo de Operación por Procesos, el cual se recuerda fue oficializado para EMCALI, en diciembre 18 de 2020 mediante resolución interna GG-100000657.</w:t>
      </w:r>
    </w:p>
    <w:p w:rsidR="003038FA" w:rsidRDefault="003038FA" w:rsidP="003038FA">
      <w:pPr>
        <w:spacing w:after="0" w:line="240" w:lineRule="auto"/>
        <w:jc w:val="both"/>
        <w:rPr>
          <w:rFonts w:ascii="Arial Narrow" w:hAnsi="Arial Narrow"/>
          <w:color w:val="000000" w:themeColor="text1"/>
        </w:rPr>
      </w:pPr>
    </w:p>
    <w:p w:rsidR="007A4E6F" w:rsidRDefault="00CE5478">
      <w:pPr>
        <w:jc w:val="both"/>
        <w:rPr>
          <w:rFonts w:ascii="Arial Narrow" w:hAnsi="Arial Narrow"/>
          <w:b/>
          <w:sz w:val="24"/>
          <w:szCs w:val="24"/>
        </w:rPr>
      </w:pPr>
      <w:r>
        <w:rPr>
          <w:rFonts w:ascii="Arial Narrow" w:hAnsi="Arial Narrow"/>
          <w:b/>
          <w:sz w:val="24"/>
          <w:szCs w:val="24"/>
          <w:highlight w:val="yellow"/>
        </w:rPr>
        <w:t>3</w:t>
      </w:r>
      <w:r>
        <w:rPr>
          <w:rFonts w:ascii="Arial Narrow" w:hAnsi="Arial Narrow"/>
          <w:b/>
          <w:sz w:val="24"/>
          <w:szCs w:val="24"/>
          <w:highlight w:val="yellow"/>
        </w:rPr>
        <w:t>. ACTIVIDADES DE CONTROL</w:t>
      </w:r>
    </w:p>
    <w:p w:rsidR="007A4E6F" w:rsidRDefault="00CE5478">
      <w:pPr>
        <w:jc w:val="both"/>
        <w:rPr>
          <w:rFonts w:ascii="Arial Narrow" w:hAnsi="Arial Narrow"/>
          <w:b/>
          <w:sz w:val="24"/>
          <w:szCs w:val="24"/>
          <w:highlight w:val="yellow"/>
        </w:rPr>
      </w:pPr>
      <w:r>
        <w:rPr>
          <w:rFonts w:ascii="Arial Narrow" w:hAnsi="Arial Narrow"/>
          <w:b/>
          <w:sz w:val="24"/>
          <w:szCs w:val="24"/>
          <w:highlight w:val="yellow"/>
        </w:rPr>
        <w:t>CALIFICACIÓN DEL COMPONENTE: 95,83%</w:t>
      </w:r>
    </w:p>
    <w:p w:rsidR="007A4E6F" w:rsidRDefault="00CE5478">
      <w:pPr>
        <w:jc w:val="both"/>
        <w:rPr>
          <w:rFonts w:ascii="Arial Narrow" w:hAnsi="Arial Narrow"/>
          <w:b/>
          <w:sz w:val="24"/>
          <w:szCs w:val="24"/>
          <w:highlight w:val="yellow"/>
        </w:rPr>
      </w:pPr>
      <w:r>
        <w:rPr>
          <w:rFonts w:ascii="Arial Narrow" w:hAnsi="Arial Narrow"/>
          <w:b/>
          <w:sz w:val="24"/>
          <w:szCs w:val="24"/>
          <w:highlight w:val="yellow"/>
        </w:rPr>
        <w:t>CALIFICACIÓN ANTERIOR: 95,83%</w:t>
      </w:r>
    </w:p>
    <w:p w:rsidR="008F16B7" w:rsidRPr="008F16B7" w:rsidRDefault="008F16B7" w:rsidP="008F16B7">
      <w:pPr>
        <w:spacing w:after="0" w:line="240" w:lineRule="auto"/>
        <w:jc w:val="both"/>
        <w:rPr>
          <w:rFonts w:ascii="Arial Narrow" w:hAnsi="Arial Narrow"/>
          <w:sz w:val="24"/>
          <w:szCs w:val="24"/>
        </w:rPr>
      </w:pPr>
      <w:r w:rsidRPr="008F16B7">
        <w:rPr>
          <w:rFonts w:ascii="Arial Narrow" w:hAnsi="Arial Narrow"/>
          <w:sz w:val="24"/>
          <w:szCs w:val="24"/>
        </w:rPr>
        <w:t xml:space="preserve">El componente se mantuvo estable. EMCALI EICE ESP., opera bajo un esquema de división de funciones y éstas se encuentren segregadas en diferentes personas para reducir el riesgo de error o de incumplimientos de alto impacto en la operación. Durante la vigencia anterior, la organización realizó una revisión para ajustar la estructura organizacional, planta de cargos y planta de personal alineadas con el MOP, a fin de facilitar la transformación de la empresa en línea con lo definido en el PEC 2018-2023. </w:t>
      </w:r>
    </w:p>
    <w:p w:rsidR="008F16B7" w:rsidRPr="008F16B7" w:rsidRDefault="008F16B7" w:rsidP="008F16B7">
      <w:pPr>
        <w:spacing w:after="0" w:line="240" w:lineRule="auto"/>
        <w:jc w:val="both"/>
        <w:rPr>
          <w:rFonts w:ascii="Arial Narrow" w:hAnsi="Arial Narrow"/>
          <w:sz w:val="24"/>
          <w:szCs w:val="24"/>
        </w:rPr>
      </w:pPr>
    </w:p>
    <w:p w:rsidR="008F16B7" w:rsidRPr="008F16B7" w:rsidRDefault="008F16B7" w:rsidP="008F16B7">
      <w:pPr>
        <w:spacing w:after="0" w:line="240" w:lineRule="auto"/>
        <w:jc w:val="both"/>
        <w:rPr>
          <w:rFonts w:ascii="Arial Narrow" w:hAnsi="Arial Narrow"/>
          <w:sz w:val="24"/>
          <w:szCs w:val="24"/>
        </w:rPr>
      </w:pPr>
      <w:r w:rsidRPr="008F16B7">
        <w:rPr>
          <w:rFonts w:ascii="Arial Narrow" w:hAnsi="Arial Narrow"/>
          <w:sz w:val="24"/>
          <w:szCs w:val="24"/>
        </w:rPr>
        <w:t>La organización tiene diferenciado en sus manuales de funciones y asignación de responsabilidades, la segregado por niveles de cargos. Para el desarrollo de las actividades de control, en cada proceso se cuenta con procedimientos levantados donde se detalla en flujogramas, el cargo del responsable de ejecutar dicha actividad bajo el ciclo PHVA.</w:t>
      </w:r>
    </w:p>
    <w:p w:rsidR="008F16B7" w:rsidRPr="008F16B7" w:rsidRDefault="008F16B7" w:rsidP="008F16B7">
      <w:pPr>
        <w:spacing w:after="0" w:line="240" w:lineRule="auto"/>
        <w:jc w:val="both"/>
        <w:rPr>
          <w:rFonts w:ascii="Arial Narrow" w:hAnsi="Arial Narrow"/>
          <w:sz w:val="24"/>
          <w:szCs w:val="24"/>
        </w:rPr>
      </w:pPr>
    </w:p>
    <w:p w:rsidR="008F16B7" w:rsidRPr="008F16B7" w:rsidRDefault="008F16B7" w:rsidP="008F16B7">
      <w:pPr>
        <w:spacing w:after="0" w:line="240" w:lineRule="auto"/>
        <w:jc w:val="both"/>
        <w:rPr>
          <w:rFonts w:ascii="Arial Narrow" w:hAnsi="Arial Narrow"/>
          <w:sz w:val="24"/>
          <w:szCs w:val="24"/>
        </w:rPr>
      </w:pPr>
      <w:r w:rsidRPr="008F16B7">
        <w:rPr>
          <w:rFonts w:ascii="Arial Narrow" w:hAnsi="Arial Narrow"/>
          <w:sz w:val="24"/>
          <w:szCs w:val="24"/>
        </w:rPr>
        <w:t>A través de las Auditorías internas basadas en Riesgos, la DCI, continúa aplicando una metodología in-</w:t>
      </w:r>
      <w:proofErr w:type="spellStart"/>
      <w:r w:rsidRPr="008F16B7">
        <w:rPr>
          <w:rFonts w:ascii="Arial Narrow" w:hAnsi="Arial Narrow"/>
          <w:sz w:val="24"/>
          <w:szCs w:val="24"/>
        </w:rPr>
        <w:t>house</w:t>
      </w:r>
      <w:proofErr w:type="spellEnd"/>
      <w:r w:rsidRPr="008F16B7">
        <w:rPr>
          <w:rFonts w:ascii="Arial Narrow" w:hAnsi="Arial Narrow"/>
          <w:sz w:val="24"/>
          <w:szCs w:val="24"/>
        </w:rPr>
        <w:t>, y una actividad minuciosa de valoración de controles, plenamente aceptada por la organización, donde se evalúa el diseño y efectividad de los mismos. Se toma como base el universo de controles asociado con el proceso a evaluar, priorizando según la metodología, los de mayor incidencia.</w:t>
      </w:r>
    </w:p>
    <w:p w:rsidR="008F16B7" w:rsidRPr="008F16B7" w:rsidRDefault="008F16B7" w:rsidP="008F16B7">
      <w:pPr>
        <w:spacing w:after="0" w:line="240" w:lineRule="auto"/>
        <w:jc w:val="both"/>
        <w:rPr>
          <w:rFonts w:ascii="Arial Narrow" w:hAnsi="Arial Narrow"/>
          <w:sz w:val="24"/>
          <w:szCs w:val="24"/>
        </w:rPr>
      </w:pPr>
    </w:p>
    <w:p w:rsidR="008F16B7" w:rsidRPr="008F16B7" w:rsidRDefault="008F16B7" w:rsidP="008F16B7">
      <w:pPr>
        <w:spacing w:after="0" w:line="240" w:lineRule="auto"/>
        <w:jc w:val="both"/>
        <w:rPr>
          <w:rFonts w:ascii="Arial Narrow" w:hAnsi="Arial Narrow"/>
          <w:sz w:val="24"/>
          <w:szCs w:val="24"/>
        </w:rPr>
      </w:pPr>
      <w:r w:rsidRPr="008F16B7">
        <w:rPr>
          <w:rFonts w:ascii="Arial Narrow" w:hAnsi="Arial Narrow"/>
          <w:sz w:val="24"/>
          <w:szCs w:val="24"/>
        </w:rPr>
        <w:t>En relación con las infraestructuras tecnológicas, en el primer semestre de 2024, no ha sido claro el establecimiento de actividades de control relevantes sobre las mismas, en los aspectos de adquisición, modernización y desarrollo de tecnologías de hardware y software. La ausencia en propiedad de un responsable de la Seguridad de la Información, de talento humano suficiente y competente como reza la norma, ha afectado seriamente el negocio, en cumplimiento de metas y su valoración desde los planes de mejora y la gestión eficiente de activos tecnológicos.</w:t>
      </w:r>
    </w:p>
    <w:p w:rsidR="008F16B7" w:rsidRPr="008F16B7" w:rsidRDefault="008F16B7" w:rsidP="008F16B7">
      <w:pPr>
        <w:spacing w:after="0" w:line="240" w:lineRule="auto"/>
        <w:jc w:val="both"/>
        <w:rPr>
          <w:rFonts w:ascii="Arial Narrow" w:hAnsi="Arial Narrow"/>
          <w:sz w:val="24"/>
          <w:szCs w:val="24"/>
        </w:rPr>
      </w:pPr>
    </w:p>
    <w:p w:rsidR="007A4E6F" w:rsidRDefault="008F16B7" w:rsidP="008F16B7">
      <w:pPr>
        <w:spacing w:after="0" w:line="240" w:lineRule="auto"/>
        <w:jc w:val="both"/>
        <w:rPr>
          <w:rFonts w:ascii="Arial Narrow" w:hAnsi="Arial Narrow"/>
          <w:sz w:val="24"/>
          <w:szCs w:val="24"/>
          <w:lang w:val="es-MX"/>
        </w:rPr>
      </w:pPr>
      <w:r w:rsidRPr="008F16B7">
        <w:rPr>
          <w:rFonts w:ascii="Arial Narrow" w:hAnsi="Arial Narrow"/>
          <w:sz w:val="24"/>
          <w:szCs w:val="24"/>
        </w:rPr>
        <w:t xml:space="preserve">En EMCALI EICE ESP, la Dirección de Control Interno DCI, programó y ejecutó, en la presente vigencia - 1 semestre 2024-, 2 auditorías basadas en Gobierno, riesgos y controles, y con anterioridad 32, a la 2a. línea de defensa táctica y corporativa, donde por metodología se valida los controles de los proveedores de aseguramiento, tanto en inventario, diseño, ejecución y efectividad, identificados en el Mapa de Aseguramiento, el MOP, la Arquitectura funcional de la empresa. Los resultados se vienen presentando sistemáticamente de acuerdo con la </w:t>
      </w:r>
      <w:proofErr w:type="spellStart"/>
      <w:r w:rsidRPr="008F16B7">
        <w:rPr>
          <w:rFonts w:ascii="Arial Narrow" w:hAnsi="Arial Narrow"/>
          <w:sz w:val="24"/>
          <w:szCs w:val="24"/>
        </w:rPr>
        <w:t>calendización</w:t>
      </w:r>
      <w:proofErr w:type="spellEnd"/>
      <w:r w:rsidRPr="008F16B7">
        <w:rPr>
          <w:rFonts w:ascii="Arial Narrow" w:hAnsi="Arial Narrow"/>
          <w:sz w:val="24"/>
          <w:szCs w:val="24"/>
        </w:rPr>
        <w:t xml:space="preserve"> por vigencia, tomando como base metodológica, las guías DAFP., de Administración del Riesgo V., 4 y 5.</w:t>
      </w:r>
    </w:p>
    <w:p w:rsidR="007A4E6F" w:rsidRDefault="007A4E6F">
      <w:pPr>
        <w:spacing w:after="0" w:line="240" w:lineRule="auto"/>
        <w:jc w:val="both"/>
        <w:rPr>
          <w:rFonts w:ascii="Arial Narrow" w:hAnsi="Arial Narrow"/>
          <w:sz w:val="24"/>
          <w:szCs w:val="24"/>
          <w:lang w:val="es-MX"/>
        </w:rPr>
      </w:pPr>
    </w:p>
    <w:p w:rsidR="007A4E6F" w:rsidRDefault="00CE5478">
      <w:pPr>
        <w:jc w:val="both"/>
        <w:rPr>
          <w:rFonts w:ascii="Arial Narrow" w:hAnsi="Arial Narrow"/>
          <w:b/>
          <w:sz w:val="24"/>
          <w:szCs w:val="24"/>
        </w:rPr>
      </w:pPr>
      <w:r>
        <w:rPr>
          <w:rFonts w:ascii="Arial Narrow" w:hAnsi="Arial Narrow"/>
          <w:b/>
          <w:sz w:val="24"/>
          <w:szCs w:val="24"/>
          <w:highlight w:val="yellow"/>
        </w:rPr>
        <w:t xml:space="preserve">4. INFORMACIÓN Y COMUNICACIÓN </w:t>
      </w:r>
    </w:p>
    <w:p w:rsidR="007A4E6F" w:rsidRDefault="00CE5478">
      <w:pPr>
        <w:jc w:val="both"/>
        <w:rPr>
          <w:rFonts w:ascii="Arial Narrow" w:hAnsi="Arial Narrow"/>
          <w:b/>
          <w:sz w:val="24"/>
          <w:szCs w:val="24"/>
          <w:highlight w:val="yellow"/>
        </w:rPr>
      </w:pPr>
      <w:r>
        <w:rPr>
          <w:rFonts w:ascii="Arial Narrow" w:hAnsi="Arial Narrow"/>
          <w:b/>
          <w:sz w:val="24"/>
          <w:szCs w:val="24"/>
          <w:highlight w:val="yellow"/>
        </w:rPr>
        <w:t>CALIFICACIÓN DEL COMPONENTE: 85,71%</w:t>
      </w:r>
    </w:p>
    <w:p w:rsidR="007A4E6F" w:rsidRDefault="00CE5478">
      <w:pPr>
        <w:jc w:val="both"/>
        <w:rPr>
          <w:rFonts w:ascii="Arial Narrow" w:hAnsi="Arial Narrow"/>
          <w:b/>
          <w:sz w:val="24"/>
          <w:szCs w:val="24"/>
        </w:rPr>
      </w:pPr>
      <w:r>
        <w:rPr>
          <w:rFonts w:ascii="Arial Narrow" w:hAnsi="Arial Narrow"/>
          <w:b/>
          <w:sz w:val="24"/>
          <w:szCs w:val="24"/>
          <w:highlight w:val="yellow"/>
        </w:rPr>
        <w:t>CALIFICACIÓN ANTERIOR: 89,29%</w:t>
      </w:r>
    </w:p>
    <w:p w:rsidR="000C30DF" w:rsidRPr="000C30DF" w:rsidRDefault="000C30DF" w:rsidP="000C30DF">
      <w:pPr>
        <w:spacing w:after="0" w:line="240" w:lineRule="auto"/>
        <w:jc w:val="both"/>
        <w:rPr>
          <w:rFonts w:ascii="Arial Narrow" w:hAnsi="Arial Narrow"/>
          <w:sz w:val="24"/>
          <w:szCs w:val="24"/>
        </w:rPr>
      </w:pPr>
      <w:r w:rsidRPr="000C30DF">
        <w:rPr>
          <w:rFonts w:ascii="Arial Narrow" w:hAnsi="Arial Narrow"/>
          <w:sz w:val="24"/>
          <w:szCs w:val="24"/>
        </w:rPr>
        <w:t xml:space="preserve">El componente bajó cuatro puntos en relación con la </w:t>
      </w:r>
      <w:r w:rsidRPr="000C30DF">
        <w:rPr>
          <w:rFonts w:ascii="Arial Narrow" w:hAnsi="Arial Narrow"/>
          <w:sz w:val="24"/>
          <w:szCs w:val="24"/>
        </w:rPr>
        <w:t>medición</w:t>
      </w:r>
      <w:r w:rsidRPr="000C30DF">
        <w:rPr>
          <w:rFonts w:ascii="Arial Narrow" w:hAnsi="Arial Narrow"/>
          <w:sz w:val="24"/>
          <w:szCs w:val="24"/>
        </w:rPr>
        <w:t xml:space="preserve"> anterior. La Junta Directiva de EMCALI EICE ESP., mediante Resolución JD No. 001 del 03 de febrero de 2021, adoptó la Política de Transparencia y Revelación de Información, como instrumento de apoyo al Gobierno Corporativo y la reconoce como un principio fundamental para el buen gobierno de la Empresa.</w:t>
      </w:r>
    </w:p>
    <w:p w:rsidR="000C30DF" w:rsidRPr="000C30DF" w:rsidRDefault="000C30DF" w:rsidP="000C30DF">
      <w:pPr>
        <w:spacing w:after="0" w:line="240" w:lineRule="auto"/>
        <w:jc w:val="both"/>
        <w:rPr>
          <w:rFonts w:ascii="Arial Narrow" w:hAnsi="Arial Narrow"/>
          <w:sz w:val="24"/>
          <w:szCs w:val="24"/>
        </w:rPr>
      </w:pPr>
    </w:p>
    <w:p w:rsidR="000C30DF" w:rsidRPr="000C30DF" w:rsidRDefault="000C30DF" w:rsidP="000C30DF">
      <w:pPr>
        <w:spacing w:after="0" w:line="240" w:lineRule="auto"/>
        <w:jc w:val="both"/>
        <w:rPr>
          <w:rFonts w:ascii="Arial Narrow" w:hAnsi="Arial Narrow"/>
          <w:sz w:val="24"/>
          <w:szCs w:val="24"/>
        </w:rPr>
      </w:pPr>
      <w:r w:rsidRPr="000C30DF">
        <w:rPr>
          <w:rFonts w:ascii="Arial Narrow" w:hAnsi="Arial Narrow"/>
          <w:sz w:val="24"/>
          <w:szCs w:val="24"/>
        </w:rPr>
        <w:t>Durante el primer semestre 2024, se ha hecho evidente, la deficiencia reiterada de la estructura del control de las tecnologías de información, lo cual se ha materializado en ataques reiterados a la infraestructura tecnológica y al sistema de seguridad informática del negocio, lo cual afectó y castigó cerca de dos puntos (1,75%), el componente de Información y Comunicación y en 4 puntos, en relación con la evaluación del semestre anterior. Tal fue el caso, del ataque perpetrado el 16 de octubre de 2021, replicado en condiciones similares, el domingo 9 de junio de 2024, a las 9:30 am., aprox., que afectó parte de la infraestructura de soporte tecnológico de la organización, especialmente de  servidores, redes del sistema eléctrico, equipos de infraestructura, para el cual se activó un protocolo de salvaguarda activa y aislamiento de tecnologías conectadas a los sistemas centrales, y la ejecución de un protocolo de aislamiento, que evitara la propagación del malware.</w:t>
      </w:r>
    </w:p>
    <w:p w:rsidR="000C30DF" w:rsidRPr="000C30DF" w:rsidRDefault="000C30DF" w:rsidP="000C30DF">
      <w:pPr>
        <w:spacing w:after="0" w:line="240" w:lineRule="auto"/>
        <w:jc w:val="both"/>
        <w:rPr>
          <w:rFonts w:ascii="Arial Narrow" w:hAnsi="Arial Narrow"/>
          <w:sz w:val="24"/>
          <w:szCs w:val="24"/>
        </w:rPr>
      </w:pPr>
    </w:p>
    <w:p w:rsidR="000C30DF" w:rsidRPr="000C30DF" w:rsidRDefault="000C30DF" w:rsidP="000C30DF">
      <w:pPr>
        <w:spacing w:after="0" w:line="240" w:lineRule="auto"/>
        <w:jc w:val="both"/>
        <w:rPr>
          <w:rFonts w:ascii="Arial Narrow" w:hAnsi="Arial Narrow"/>
          <w:sz w:val="24"/>
          <w:szCs w:val="24"/>
        </w:rPr>
      </w:pPr>
      <w:r w:rsidRPr="000C30DF">
        <w:rPr>
          <w:rFonts w:ascii="Arial Narrow" w:hAnsi="Arial Narrow"/>
          <w:sz w:val="24"/>
          <w:szCs w:val="24"/>
        </w:rPr>
        <w:t xml:space="preserve">Durante el periodo evaluado, la entidad continuó ejecutando la aplicación de controles y el desarrollo de actividades encaminadas en generar escenarios de diálogo permanente con los grupos de valor, no obstante, la intermitencia generada por la ausencia en propiedad de un Jefe de Unidad de Comunicaciones y de un WEB Master, ha dificultado la estructura de despliegue y transversalidad del componente en sus diferentes actividades.  </w:t>
      </w:r>
    </w:p>
    <w:p w:rsidR="000C30DF" w:rsidRPr="000C30DF" w:rsidRDefault="000C30DF" w:rsidP="000C30DF">
      <w:pPr>
        <w:spacing w:after="0" w:line="240" w:lineRule="auto"/>
        <w:jc w:val="both"/>
        <w:rPr>
          <w:rFonts w:ascii="Arial Narrow" w:hAnsi="Arial Narrow"/>
          <w:sz w:val="24"/>
          <w:szCs w:val="24"/>
        </w:rPr>
      </w:pPr>
    </w:p>
    <w:p w:rsidR="000C30DF" w:rsidRPr="000C30DF" w:rsidRDefault="000C30DF" w:rsidP="000C30DF">
      <w:pPr>
        <w:spacing w:after="0" w:line="240" w:lineRule="auto"/>
        <w:jc w:val="both"/>
        <w:rPr>
          <w:rFonts w:ascii="Arial Narrow" w:hAnsi="Arial Narrow"/>
          <w:sz w:val="24"/>
          <w:szCs w:val="24"/>
        </w:rPr>
      </w:pPr>
      <w:r w:rsidRPr="000C30DF">
        <w:rPr>
          <w:rFonts w:ascii="Arial Narrow" w:hAnsi="Arial Narrow"/>
          <w:sz w:val="24"/>
          <w:szCs w:val="24"/>
        </w:rPr>
        <w:t xml:space="preserve">También fue evidente en el presente periodo la parálisis y desactualización de la administración de información del negocio, en el ámbito presencial de la red Internet, detallada en el componente de Evaluación del Riesgo, en aspectos de contenido, publicación en medios digitales y cumplimiento de la </w:t>
      </w:r>
      <w:r w:rsidRPr="000C30DF">
        <w:rPr>
          <w:rFonts w:ascii="Arial Narrow" w:hAnsi="Arial Narrow"/>
          <w:sz w:val="24"/>
          <w:szCs w:val="24"/>
        </w:rPr>
        <w:lastRenderedPageBreak/>
        <w:t>Ley 1712 de 2014 o Ley de transparencia y del derecho de acceso a la información pública, por daños y desactualización del portal corporativo.</w:t>
      </w:r>
    </w:p>
    <w:p w:rsidR="000C30DF" w:rsidRPr="000C30DF" w:rsidRDefault="000C30DF" w:rsidP="000C30DF">
      <w:pPr>
        <w:spacing w:after="0" w:line="240" w:lineRule="auto"/>
        <w:jc w:val="both"/>
        <w:rPr>
          <w:rFonts w:ascii="Arial Narrow" w:hAnsi="Arial Narrow"/>
          <w:sz w:val="24"/>
          <w:szCs w:val="24"/>
        </w:rPr>
      </w:pPr>
    </w:p>
    <w:p w:rsidR="000C30DF" w:rsidRPr="000C30DF" w:rsidRDefault="000C30DF" w:rsidP="000C30DF">
      <w:pPr>
        <w:spacing w:after="0" w:line="240" w:lineRule="auto"/>
        <w:jc w:val="both"/>
        <w:rPr>
          <w:rFonts w:ascii="Arial Narrow" w:hAnsi="Arial Narrow"/>
          <w:sz w:val="24"/>
          <w:szCs w:val="24"/>
        </w:rPr>
      </w:pPr>
      <w:r w:rsidRPr="000C30DF">
        <w:rPr>
          <w:rFonts w:ascii="Arial Narrow" w:hAnsi="Arial Narrow"/>
          <w:sz w:val="24"/>
          <w:szCs w:val="24"/>
        </w:rPr>
        <w:t xml:space="preserve">Por su parte, el balance de Normas de uso de Software 2023, </w:t>
      </w:r>
      <w:r w:rsidR="00B80F3B" w:rsidRPr="000C30DF">
        <w:rPr>
          <w:rFonts w:ascii="Arial Narrow" w:hAnsi="Arial Narrow"/>
          <w:sz w:val="24"/>
          <w:szCs w:val="24"/>
        </w:rPr>
        <w:t>exigido</w:t>
      </w:r>
      <w:r w:rsidRPr="000C30DF">
        <w:rPr>
          <w:rFonts w:ascii="Arial Narrow" w:hAnsi="Arial Narrow"/>
          <w:sz w:val="24"/>
          <w:szCs w:val="24"/>
        </w:rPr>
        <w:t xml:space="preserve"> legalmente por la Dirección Nacional de Derechos de Autor -DNDA período 2023-2024, mediante evaluación de abril 2024, que realiza y presenta la DCI anualmente - (Balance de controles: Proceso /Subproceso: Gestionar Tecnología Informática/Implementar tecnología informática; Actividad/Procedimiento: Implementar Software Aplicativo); dio cuenta de la disponibilidad al 31/12/2023 de un universo de 2.206 máquinas (53%), seguido por la línea de portátiles con 1.357 (33%), servidores virtuales 395 (10%), </w:t>
      </w:r>
      <w:proofErr w:type="spellStart"/>
      <w:r w:rsidRPr="000C30DF">
        <w:rPr>
          <w:rFonts w:ascii="Arial Narrow" w:hAnsi="Arial Narrow"/>
          <w:sz w:val="24"/>
          <w:szCs w:val="24"/>
        </w:rPr>
        <w:t>workstations</w:t>
      </w:r>
      <w:proofErr w:type="spellEnd"/>
      <w:r w:rsidRPr="000C30DF">
        <w:rPr>
          <w:rFonts w:ascii="Arial Narrow" w:hAnsi="Arial Narrow"/>
          <w:sz w:val="24"/>
          <w:szCs w:val="24"/>
        </w:rPr>
        <w:t xml:space="preserve"> 83 (2%), y servidores físicos 85 (2%). El mayor crecimiento se ha presentado sobre la línea de portables en los últimos 4 años, con una ligera disminución del parque de computadores de escritorio al pasar de 2.281 en el 2019, a 2206 en el 2023 (a dic 31). </w:t>
      </w:r>
    </w:p>
    <w:p w:rsidR="000C30DF" w:rsidRPr="000C30DF" w:rsidRDefault="000C30DF" w:rsidP="000C30DF">
      <w:pPr>
        <w:spacing w:after="0" w:line="240" w:lineRule="auto"/>
        <w:jc w:val="both"/>
        <w:rPr>
          <w:rFonts w:ascii="Arial Narrow" w:hAnsi="Arial Narrow"/>
          <w:sz w:val="24"/>
          <w:szCs w:val="24"/>
        </w:rPr>
      </w:pPr>
      <w:r w:rsidRPr="000C30DF">
        <w:rPr>
          <w:rFonts w:ascii="Arial Narrow" w:hAnsi="Arial Narrow"/>
          <w:sz w:val="24"/>
          <w:szCs w:val="24"/>
        </w:rPr>
        <w:t xml:space="preserve"> </w:t>
      </w:r>
    </w:p>
    <w:p w:rsidR="000C30DF" w:rsidRPr="000C30DF" w:rsidRDefault="000C30DF" w:rsidP="000C30DF">
      <w:pPr>
        <w:spacing w:after="0" w:line="240" w:lineRule="auto"/>
        <w:jc w:val="both"/>
        <w:rPr>
          <w:rFonts w:ascii="Arial Narrow" w:hAnsi="Arial Narrow"/>
          <w:sz w:val="24"/>
          <w:szCs w:val="24"/>
        </w:rPr>
      </w:pPr>
      <w:r w:rsidRPr="000C30DF">
        <w:rPr>
          <w:rFonts w:ascii="Arial Narrow" w:hAnsi="Arial Narrow"/>
          <w:sz w:val="24"/>
          <w:szCs w:val="24"/>
        </w:rPr>
        <w:t xml:space="preserve">De otro lado, los mecanismos que utiliza la organización para la comunicación oportuna sobre los cambios en el marco legal y las implicaciones de la gestión de daños, por su impacto hacia los clientes, es </w:t>
      </w:r>
      <w:r w:rsidR="00B80F3B" w:rsidRPr="000C30DF">
        <w:rPr>
          <w:rFonts w:ascii="Arial Narrow" w:hAnsi="Arial Narrow"/>
          <w:sz w:val="24"/>
          <w:szCs w:val="24"/>
        </w:rPr>
        <w:t>materializado diariamente</w:t>
      </w:r>
      <w:r w:rsidRPr="000C30DF">
        <w:rPr>
          <w:rFonts w:ascii="Arial Narrow" w:hAnsi="Arial Narrow"/>
          <w:sz w:val="24"/>
          <w:szCs w:val="24"/>
        </w:rPr>
        <w:t xml:space="preserve"> desde la Unidad de Comunicaciones, ante los medios de comunicación masivos, con asistencia desde la </w:t>
      </w:r>
      <w:r w:rsidRPr="000C30DF">
        <w:rPr>
          <w:rFonts w:ascii="Arial Narrow" w:hAnsi="Arial Narrow"/>
          <w:sz w:val="24"/>
          <w:szCs w:val="24"/>
        </w:rPr>
        <w:t>gestión</w:t>
      </w:r>
      <w:r w:rsidRPr="000C30DF">
        <w:rPr>
          <w:rFonts w:ascii="Arial Narrow" w:hAnsi="Arial Narrow"/>
          <w:sz w:val="24"/>
          <w:szCs w:val="24"/>
        </w:rPr>
        <w:t xml:space="preserve"> </w:t>
      </w:r>
      <w:r w:rsidR="00B80F3B" w:rsidRPr="000C30DF">
        <w:rPr>
          <w:rFonts w:ascii="Arial Narrow" w:hAnsi="Arial Narrow"/>
          <w:sz w:val="24"/>
          <w:szCs w:val="24"/>
        </w:rPr>
        <w:t>comercial y</w:t>
      </w:r>
      <w:r w:rsidR="00B80F3B">
        <w:rPr>
          <w:rFonts w:ascii="Arial Narrow" w:hAnsi="Arial Narrow"/>
          <w:sz w:val="24"/>
          <w:szCs w:val="24"/>
        </w:rPr>
        <w:t xml:space="preserve"> los programas de </w:t>
      </w:r>
      <w:r w:rsidRPr="000C30DF">
        <w:rPr>
          <w:rFonts w:ascii="Arial Narrow" w:hAnsi="Arial Narrow"/>
          <w:sz w:val="24"/>
          <w:szCs w:val="24"/>
        </w:rPr>
        <w:t xml:space="preserve">control de pérdidas de energía y agua, </w:t>
      </w:r>
      <w:r w:rsidR="00B80F3B">
        <w:rPr>
          <w:rFonts w:ascii="Arial Narrow" w:hAnsi="Arial Narrow"/>
          <w:sz w:val="24"/>
          <w:szCs w:val="24"/>
        </w:rPr>
        <w:t xml:space="preserve">los cuales </w:t>
      </w:r>
      <w:r w:rsidRPr="000C30DF">
        <w:rPr>
          <w:rFonts w:ascii="Arial Narrow" w:hAnsi="Arial Narrow"/>
          <w:sz w:val="24"/>
          <w:szCs w:val="24"/>
        </w:rPr>
        <w:t xml:space="preserve">son incorporados a la red e Intranet Corporativa. Asimismo, el Área de Regulación que pertenece a la Unidad de Prospectiva, comunica el estadio de las resoluciones que emite la CREG en lo concerniente a los planes de reducción de pérdidas. </w:t>
      </w:r>
      <w:proofErr w:type="spellStart"/>
      <w:r w:rsidRPr="000C30DF">
        <w:rPr>
          <w:rFonts w:ascii="Arial Narrow" w:hAnsi="Arial Narrow"/>
          <w:sz w:val="24"/>
          <w:szCs w:val="24"/>
        </w:rPr>
        <w:t>Ej</w:t>
      </w:r>
      <w:proofErr w:type="spellEnd"/>
      <w:r w:rsidRPr="000C30DF">
        <w:rPr>
          <w:rFonts w:ascii="Arial Narrow" w:hAnsi="Arial Narrow"/>
          <w:sz w:val="24"/>
          <w:szCs w:val="24"/>
        </w:rPr>
        <w:t>: https://newintranet.emcali.com.co/documents/10960/31884362/Recomendaciones+para+realizar+trabajo+en+plantas%2C+terreno+y+en+casa+como+medida+de+seguridad+y+salud+frente+al+Covid-19.pdf/b7b15078-8474-bba7-a149-eb6b214598df.</w:t>
      </w:r>
    </w:p>
    <w:p w:rsidR="007A4E6F" w:rsidRDefault="007A4E6F">
      <w:pPr>
        <w:spacing w:after="0" w:line="240" w:lineRule="auto"/>
        <w:jc w:val="both"/>
        <w:rPr>
          <w:rFonts w:ascii="Arial Narrow" w:hAnsi="Arial Narrow"/>
          <w:sz w:val="24"/>
          <w:szCs w:val="24"/>
          <w:lang w:val="es-MX"/>
        </w:rPr>
      </w:pPr>
    </w:p>
    <w:p w:rsidR="007A4E6F" w:rsidRDefault="00CE5478">
      <w:pPr>
        <w:jc w:val="both"/>
        <w:rPr>
          <w:rFonts w:ascii="Arial Narrow" w:hAnsi="Arial Narrow"/>
          <w:b/>
          <w:sz w:val="24"/>
          <w:szCs w:val="24"/>
        </w:rPr>
      </w:pPr>
      <w:r>
        <w:rPr>
          <w:rFonts w:ascii="Arial Narrow" w:hAnsi="Arial Narrow"/>
          <w:b/>
          <w:sz w:val="24"/>
          <w:szCs w:val="24"/>
          <w:highlight w:val="yellow"/>
        </w:rPr>
        <w:t xml:space="preserve">5. </w:t>
      </w:r>
      <w:r>
        <w:rPr>
          <w:rFonts w:ascii="Arial Narrow" w:hAnsi="Arial Narrow"/>
          <w:b/>
          <w:sz w:val="24"/>
          <w:szCs w:val="24"/>
          <w:highlight w:val="yellow"/>
          <w:lang w:val="es-MX"/>
        </w:rPr>
        <w:t xml:space="preserve">ACTIVIDADES DE </w:t>
      </w:r>
      <w:r>
        <w:rPr>
          <w:rFonts w:ascii="Arial Narrow" w:hAnsi="Arial Narrow"/>
          <w:b/>
          <w:sz w:val="24"/>
          <w:szCs w:val="24"/>
          <w:highlight w:val="yellow"/>
        </w:rPr>
        <w:t xml:space="preserve">MONITOREO </w:t>
      </w:r>
    </w:p>
    <w:p w:rsidR="007A4E6F" w:rsidRDefault="00CE5478">
      <w:pPr>
        <w:jc w:val="both"/>
        <w:rPr>
          <w:rFonts w:ascii="Arial Narrow" w:hAnsi="Arial Narrow"/>
          <w:b/>
          <w:sz w:val="24"/>
          <w:szCs w:val="24"/>
          <w:highlight w:val="yellow"/>
        </w:rPr>
      </w:pPr>
      <w:r>
        <w:rPr>
          <w:rFonts w:ascii="Arial Narrow" w:hAnsi="Arial Narrow"/>
          <w:b/>
          <w:sz w:val="24"/>
          <w:szCs w:val="24"/>
          <w:highlight w:val="yellow"/>
        </w:rPr>
        <w:t>CALIFICACIÓN DEL COMPONENTE: 82,14%</w:t>
      </w:r>
    </w:p>
    <w:p w:rsidR="007A4E6F" w:rsidRDefault="00CE5478">
      <w:pPr>
        <w:jc w:val="both"/>
        <w:rPr>
          <w:rFonts w:ascii="Arial Narrow" w:hAnsi="Arial Narrow"/>
          <w:b/>
          <w:sz w:val="24"/>
          <w:szCs w:val="24"/>
        </w:rPr>
      </w:pPr>
      <w:r>
        <w:rPr>
          <w:rFonts w:ascii="Arial Narrow" w:hAnsi="Arial Narrow"/>
          <w:b/>
          <w:sz w:val="24"/>
          <w:szCs w:val="24"/>
          <w:highlight w:val="yellow"/>
        </w:rPr>
        <w:t xml:space="preserve">CALIFICACIÓN ANTERIOR: </w:t>
      </w:r>
      <w:r>
        <w:rPr>
          <w:rFonts w:ascii="Arial Narrow" w:hAnsi="Arial Narrow"/>
          <w:b/>
          <w:sz w:val="24"/>
          <w:szCs w:val="24"/>
          <w:highlight w:val="yellow"/>
        </w:rPr>
        <w:t>89,29%</w:t>
      </w:r>
    </w:p>
    <w:p w:rsidR="00022F39" w:rsidRPr="00022F39" w:rsidRDefault="00022F39" w:rsidP="00022F39">
      <w:pPr>
        <w:spacing w:after="0" w:line="240" w:lineRule="auto"/>
        <w:jc w:val="both"/>
        <w:rPr>
          <w:rFonts w:ascii="Arial Narrow" w:hAnsi="Arial Narrow"/>
          <w:sz w:val="24"/>
          <w:szCs w:val="24"/>
          <w:lang w:val="es-MX"/>
        </w:rPr>
      </w:pPr>
      <w:r w:rsidRPr="00022F39">
        <w:rPr>
          <w:rFonts w:ascii="Arial Narrow" w:hAnsi="Arial Narrow"/>
          <w:sz w:val="24"/>
          <w:szCs w:val="24"/>
          <w:lang w:val="es-MX"/>
        </w:rPr>
        <w:t xml:space="preserve">El componente bajó siete puntos en relación con la medición del semestre anterior. En armonía con lo establecido en el modelo de operación por procesos, así como en el Esquema de Líneas de Defensa, durante el primer semestre de la vigencia 2024, se continuaron realizando por parte de los responsables, actividades de monitoreo con el propósito de fortalecer la ejecución de los procesos. La subgerencia de Planeación y Desarrollo Empresarial, en calidad de Segunda Línea de Defensa, permitió evidenciar el fortalecimiento de la aplicación del principio de autocontrol por parte de los procesos frente a sus prácticas de gestión. </w:t>
      </w:r>
    </w:p>
    <w:p w:rsidR="00022F39" w:rsidRPr="00022F39" w:rsidRDefault="00022F39" w:rsidP="00022F39">
      <w:pPr>
        <w:spacing w:after="0" w:line="240" w:lineRule="auto"/>
        <w:jc w:val="both"/>
        <w:rPr>
          <w:rFonts w:ascii="Arial Narrow" w:hAnsi="Arial Narrow"/>
          <w:sz w:val="24"/>
          <w:szCs w:val="24"/>
          <w:lang w:val="es-MX"/>
        </w:rPr>
      </w:pPr>
    </w:p>
    <w:p w:rsidR="00022F39" w:rsidRPr="00022F39" w:rsidRDefault="00022F39" w:rsidP="00022F39">
      <w:pPr>
        <w:spacing w:after="0" w:line="240" w:lineRule="auto"/>
        <w:jc w:val="both"/>
        <w:rPr>
          <w:rFonts w:ascii="Arial Narrow" w:hAnsi="Arial Narrow"/>
          <w:sz w:val="24"/>
          <w:szCs w:val="24"/>
          <w:lang w:val="es-MX"/>
        </w:rPr>
      </w:pPr>
      <w:r w:rsidRPr="00022F39">
        <w:rPr>
          <w:rFonts w:ascii="Arial Narrow" w:hAnsi="Arial Narrow"/>
          <w:sz w:val="24"/>
          <w:szCs w:val="24"/>
          <w:lang w:val="es-MX"/>
        </w:rPr>
        <w:t>Pese a las limitaciones declaradas con anterioridad, la Dirección de Control Interno ha ejecutado en el presente periodo las auditorias programadas y emitido observaciones a las que se les suscribieron acciones de mejora por parte de los responsables de los temas auditados. Cada auditoría basada en gobierno, riesgos y controles, en obediencia al Plan anual de Auditorias, programadas y ejecutadas por la DCI, valora la batería de controles desde el punto de vista de su diseño, eficacia y efectividad, según los procesos comprometidos, que ejecuta controles, y donde se realizan actividades de aseguramiento.</w:t>
      </w:r>
    </w:p>
    <w:p w:rsidR="00022F39" w:rsidRPr="00022F39" w:rsidRDefault="00022F39" w:rsidP="00022F39">
      <w:pPr>
        <w:spacing w:after="0" w:line="240" w:lineRule="auto"/>
        <w:jc w:val="both"/>
        <w:rPr>
          <w:rFonts w:ascii="Arial Narrow" w:hAnsi="Arial Narrow"/>
          <w:sz w:val="24"/>
          <w:szCs w:val="24"/>
          <w:lang w:val="es-MX"/>
        </w:rPr>
      </w:pPr>
    </w:p>
    <w:p w:rsidR="00022F39" w:rsidRPr="00022F39" w:rsidRDefault="00022F39" w:rsidP="00022F39">
      <w:pPr>
        <w:spacing w:after="0" w:line="240" w:lineRule="auto"/>
        <w:jc w:val="both"/>
        <w:rPr>
          <w:rFonts w:ascii="Arial Narrow" w:hAnsi="Arial Narrow"/>
          <w:sz w:val="24"/>
          <w:szCs w:val="24"/>
          <w:lang w:val="es-MX"/>
        </w:rPr>
      </w:pPr>
      <w:r w:rsidRPr="00022F39">
        <w:rPr>
          <w:rFonts w:ascii="Arial Narrow" w:hAnsi="Arial Narrow"/>
          <w:sz w:val="24"/>
          <w:szCs w:val="24"/>
          <w:lang w:val="es-MX"/>
        </w:rPr>
        <w:t xml:space="preserve">La DCI, con base en las acciones formuladas especialmente por los entes de control externos, además de las formuladas por las Auditorías Internas y acciones preventivas, lleva un registro detallado de las </w:t>
      </w:r>
      <w:r w:rsidRPr="00022F39">
        <w:rPr>
          <w:rFonts w:ascii="Arial Narrow" w:hAnsi="Arial Narrow"/>
          <w:sz w:val="24"/>
          <w:szCs w:val="24"/>
          <w:lang w:val="es-MX"/>
        </w:rPr>
        <w:lastRenderedPageBreak/>
        <w:t>recomendaciones y su impacto en el Sistema de Control Interno Institucional, como coadyuvante en el desarrollo de dicho sistema y perfeccionamiento de los planes de mejora.</w:t>
      </w:r>
    </w:p>
    <w:p w:rsidR="00022F39" w:rsidRPr="00022F39" w:rsidRDefault="00022F39" w:rsidP="00022F39">
      <w:pPr>
        <w:spacing w:after="0" w:line="240" w:lineRule="auto"/>
        <w:jc w:val="both"/>
        <w:rPr>
          <w:rFonts w:ascii="Arial Narrow" w:hAnsi="Arial Narrow"/>
          <w:sz w:val="24"/>
          <w:szCs w:val="24"/>
          <w:lang w:val="es-MX"/>
        </w:rPr>
      </w:pPr>
    </w:p>
    <w:p w:rsidR="00022F39" w:rsidRPr="00022F39" w:rsidRDefault="00022F39" w:rsidP="00022F39">
      <w:pPr>
        <w:spacing w:after="0" w:line="240" w:lineRule="auto"/>
        <w:jc w:val="both"/>
        <w:rPr>
          <w:rFonts w:ascii="Arial Narrow" w:hAnsi="Arial Narrow"/>
          <w:sz w:val="24"/>
          <w:szCs w:val="24"/>
          <w:lang w:val="es-MX"/>
        </w:rPr>
      </w:pPr>
      <w:r w:rsidRPr="00022F39">
        <w:rPr>
          <w:rFonts w:ascii="Arial Narrow" w:hAnsi="Arial Narrow"/>
          <w:sz w:val="24"/>
          <w:szCs w:val="24"/>
          <w:lang w:val="es-MX"/>
        </w:rPr>
        <w:t xml:space="preserve">Sin embargo, varias recomendaciones formuladas en función del desarrollo del Sistema de Control Interno, especialmente en el ámbito del elemento de Información y Comunicación no ha tenido respuesta oportuna de acuerdo con los planes formulados para su mejoramiento. Existen evidencias objetivas desde la DCI levantadas desde los mismos Ciclos Comerciales del Servicio y el seguimiento al mapa de recomendaciones formuladas producto de las auditorías internas, que dan cuenta de estas deficiencias. </w:t>
      </w:r>
    </w:p>
    <w:p w:rsidR="00022F39" w:rsidRPr="00022F39" w:rsidRDefault="00022F39" w:rsidP="00022F39">
      <w:pPr>
        <w:spacing w:after="0" w:line="240" w:lineRule="auto"/>
        <w:jc w:val="both"/>
        <w:rPr>
          <w:rFonts w:ascii="Arial Narrow" w:hAnsi="Arial Narrow"/>
          <w:sz w:val="24"/>
          <w:szCs w:val="24"/>
          <w:lang w:val="es-MX"/>
        </w:rPr>
      </w:pPr>
    </w:p>
    <w:p w:rsidR="00022F39" w:rsidRDefault="00022F39" w:rsidP="00022F39">
      <w:pPr>
        <w:spacing w:after="0" w:line="240" w:lineRule="auto"/>
        <w:jc w:val="both"/>
        <w:rPr>
          <w:rFonts w:ascii="Arial Narrow" w:hAnsi="Arial Narrow"/>
          <w:sz w:val="24"/>
          <w:szCs w:val="24"/>
          <w:lang w:val="es-MX"/>
        </w:rPr>
      </w:pPr>
      <w:r w:rsidRPr="00022F39">
        <w:rPr>
          <w:rFonts w:ascii="Arial Narrow" w:hAnsi="Arial Narrow"/>
          <w:sz w:val="24"/>
          <w:szCs w:val="24"/>
          <w:lang w:val="es-MX"/>
        </w:rPr>
        <w:t xml:space="preserve">Pese a las restricciones de recursos y de talento humano </w:t>
      </w:r>
      <w:r>
        <w:rPr>
          <w:rFonts w:ascii="Arial Narrow" w:hAnsi="Arial Narrow"/>
          <w:sz w:val="24"/>
          <w:szCs w:val="24"/>
          <w:lang w:val="es-MX"/>
        </w:rPr>
        <w:t xml:space="preserve">especializado </w:t>
      </w:r>
      <w:r w:rsidRPr="00022F39">
        <w:rPr>
          <w:rFonts w:ascii="Arial Narrow" w:hAnsi="Arial Narrow"/>
          <w:sz w:val="24"/>
          <w:szCs w:val="24"/>
          <w:lang w:val="es-MX"/>
        </w:rPr>
        <w:t>necesario</w:t>
      </w:r>
      <w:r w:rsidR="00467FCB">
        <w:rPr>
          <w:rFonts w:ascii="Arial Narrow" w:hAnsi="Arial Narrow"/>
          <w:sz w:val="24"/>
          <w:szCs w:val="24"/>
          <w:lang w:val="es-MX"/>
        </w:rPr>
        <w:t xml:space="preserve"> y suficiente</w:t>
      </w:r>
      <w:r w:rsidRPr="00022F39">
        <w:rPr>
          <w:rFonts w:ascii="Arial Narrow" w:hAnsi="Arial Narrow"/>
          <w:sz w:val="24"/>
          <w:szCs w:val="24"/>
          <w:lang w:val="es-MX"/>
        </w:rPr>
        <w:t>, la DCI viene cumplimiento con restricciones, el desarrollo del Plan anual de auditorías basadas en Riesgos 2024.</w:t>
      </w:r>
      <w:r w:rsidR="00467FCB">
        <w:rPr>
          <w:rFonts w:ascii="Arial Narrow" w:hAnsi="Arial Narrow"/>
          <w:sz w:val="24"/>
          <w:szCs w:val="24"/>
          <w:lang w:val="es-MX"/>
        </w:rPr>
        <w:t xml:space="preserve"> </w:t>
      </w:r>
      <w:r w:rsidRPr="00022F39">
        <w:rPr>
          <w:rFonts w:ascii="Arial Narrow" w:hAnsi="Arial Narrow"/>
          <w:sz w:val="24"/>
          <w:szCs w:val="24"/>
          <w:lang w:val="es-MX"/>
        </w:rPr>
        <w:t xml:space="preserve">Al 31 de mayo 2024, el balance de controles es el siguiente: de </w:t>
      </w:r>
      <w:r w:rsidRPr="00022F39">
        <w:rPr>
          <w:rFonts w:ascii="Arial Narrow" w:hAnsi="Arial Narrow"/>
          <w:b/>
          <w:sz w:val="24"/>
          <w:szCs w:val="24"/>
          <w:lang w:val="es-MX"/>
        </w:rPr>
        <w:t>29</w:t>
      </w:r>
      <w:r w:rsidRPr="00022F39">
        <w:rPr>
          <w:rFonts w:ascii="Arial Narrow" w:hAnsi="Arial Narrow"/>
          <w:sz w:val="24"/>
          <w:szCs w:val="24"/>
          <w:lang w:val="es-MX"/>
        </w:rPr>
        <w:t xml:space="preserve"> </w:t>
      </w:r>
      <w:r w:rsidRPr="00022F39">
        <w:rPr>
          <w:rFonts w:ascii="Arial Narrow" w:hAnsi="Arial Narrow"/>
          <w:b/>
          <w:sz w:val="24"/>
          <w:szCs w:val="24"/>
          <w:lang w:val="es-MX"/>
        </w:rPr>
        <w:t>auditorías de Ley</w:t>
      </w:r>
      <w:r w:rsidRPr="00022F39">
        <w:rPr>
          <w:rFonts w:ascii="Arial Narrow" w:hAnsi="Arial Narrow"/>
          <w:sz w:val="24"/>
          <w:szCs w:val="24"/>
          <w:lang w:val="es-MX"/>
        </w:rPr>
        <w:t xml:space="preserve"> programadas año, 13 al mes de mayo, se han ejecutado 9 para un 69% de </w:t>
      </w:r>
      <w:r>
        <w:rPr>
          <w:rFonts w:ascii="Arial Narrow" w:hAnsi="Arial Narrow"/>
          <w:sz w:val="24"/>
          <w:szCs w:val="24"/>
          <w:lang w:val="es-MX"/>
        </w:rPr>
        <w:t>cumplimiento</w:t>
      </w:r>
      <w:r w:rsidRPr="00022F39">
        <w:rPr>
          <w:rFonts w:ascii="Arial Narrow" w:hAnsi="Arial Narrow"/>
          <w:sz w:val="24"/>
          <w:szCs w:val="24"/>
          <w:lang w:val="es-MX"/>
        </w:rPr>
        <w:t xml:space="preserve">. </w:t>
      </w:r>
      <w:r w:rsidRPr="00022F39">
        <w:rPr>
          <w:rFonts w:ascii="Arial Narrow" w:hAnsi="Arial Narrow"/>
          <w:b/>
          <w:sz w:val="24"/>
          <w:szCs w:val="24"/>
          <w:lang w:val="es-MX"/>
        </w:rPr>
        <w:t>Dos</w:t>
      </w:r>
      <w:r w:rsidRPr="00022F39">
        <w:rPr>
          <w:rFonts w:ascii="Arial Narrow" w:hAnsi="Arial Narrow"/>
          <w:b/>
          <w:sz w:val="24"/>
          <w:szCs w:val="24"/>
          <w:lang w:val="es-MX"/>
        </w:rPr>
        <w:t xml:space="preserve"> auditorías basadas en R</w:t>
      </w:r>
      <w:r>
        <w:rPr>
          <w:rFonts w:ascii="Arial Narrow" w:hAnsi="Arial Narrow"/>
          <w:b/>
          <w:sz w:val="24"/>
          <w:szCs w:val="24"/>
          <w:lang w:val="es-MX"/>
        </w:rPr>
        <w:t>iesgo, Gobierno y Controles -R</w:t>
      </w:r>
      <w:r w:rsidRPr="00022F39">
        <w:rPr>
          <w:rFonts w:ascii="Arial Narrow" w:hAnsi="Arial Narrow"/>
          <w:b/>
          <w:sz w:val="24"/>
          <w:szCs w:val="24"/>
          <w:lang w:val="es-MX"/>
        </w:rPr>
        <w:t>GC</w:t>
      </w:r>
      <w:r w:rsidRPr="00022F39">
        <w:rPr>
          <w:rFonts w:ascii="Arial Narrow" w:hAnsi="Arial Narrow"/>
          <w:sz w:val="24"/>
          <w:szCs w:val="24"/>
          <w:lang w:val="es-MX"/>
        </w:rPr>
        <w:t xml:space="preserve">, a mayo 2024 programada 1, cumplida 1 para un 100% de cumplimiento. Asimismo, de 23 </w:t>
      </w:r>
      <w:r w:rsidRPr="00022F39">
        <w:rPr>
          <w:rFonts w:ascii="Arial Narrow" w:hAnsi="Arial Narrow"/>
          <w:b/>
          <w:sz w:val="24"/>
          <w:szCs w:val="24"/>
          <w:lang w:val="es-MX"/>
        </w:rPr>
        <w:t>auditorías específicas año</w:t>
      </w:r>
      <w:r w:rsidRPr="00022F39">
        <w:rPr>
          <w:rFonts w:ascii="Arial Narrow" w:hAnsi="Arial Narrow"/>
          <w:sz w:val="24"/>
          <w:szCs w:val="24"/>
          <w:lang w:val="es-MX"/>
        </w:rPr>
        <w:t xml:space="preserve">, a mayo 2024 se han ejecutado tres, para un nivel de cumplimiento del 13%. </w:t>
      </w:r>
      <w:r w:rsidRPr="00022F39">
        <w:rPr>
          <w:rFonts w:ascii="Arial Narrow" w:hAnsi="Arial Narrow"/>
          <w:b/>
          <w:sz w:val="24"/>
          <w:szCs w:val="24"/>
          <w:lang w:val="es-MX"/>
        </w:rPr>
        <w:t>Cinco consultorías</w:t>
      </w:r>
      <w:r w:rsidRPr="00022F39">
        <w:rPr>
          <w:rFonts w:ascii="Arial Narrow" w:hAnsi="Arial Narrow"/>
          <w:sz w:val="24"/>
          <w:szCs w:val="24"/>
          <w:lang w:val="es-MX"/>
        </w:rPr>
        <w:t xml:space="preserve"> han sido programadas para el año, 2 ejecutadas a mayo 2024, para un nivel de cumplimiento del 40% y finalmente 18 </w:t>
      </w:r>
      <w:r w:rsidRPr="00022F39">
        <w:rPr>
          <w:rFonts w:ascii="Arial Narrow" w:hAnsi="Arial Narrow"/>
          <w:b/>
          <w:sz w:val="24"/>
          <w:szCs w:val="24"/>
          <w:lang w:val="es-MX"/>
        </w:rPr>
        <w:t>actividades de liderazgo estratégico</w:t>
      </w:r>
      <w:r w:rsidRPr="00022F39">
        <w:rPr>
          <w:rFonts w:ascii="Arial Narrow" w:hAnsi="Arial Narrow"/>
          <w:sz w:val="24"/>
          <w:szCs w:val="24"/>
          <w:lang w:val="es-MX"/>
        </w:rPr>
        <w:t xml:space="preserve">, 8 a mayo, para un nivel de cumplimiento del 44%. </w:t>
      </w:r>
    </w:p>
    <w:p w:rsidR="00467FCB" w:rsidRDefault="00467FCB" w:rsidP="00022F39">
      <w:pPr>
        <w:spacing w:after="0" w:line="240" w:lineRule="auto"/>
        <w:jc w:val="both"/>
        <w:rPr>
          <w:rFonts w:ascii="Arial Narrow" w:hAnsi="Arial Narrow"/>
          <w:sz w:val="24"/>
          <w:szCs w:val="24"/>
          <w:lang w:val="es-MX"/>
        </w:rPr>
      </w:pPr>
    </w:p>
    <w:p w:rsidR="007A4E6F" w:rsidRDefault="00CE5478">
      <w:pPr>
        <w:spacing w:after="0" w:line="240" w:lineRule="auto"/>
        <w:jc w:val="both"/>
        <w:rPr>
          <w:rFonts w:ascii="Arial Narrow" w:hAnsi="Arial Narrow" w:cs="Arial"/>
          <w:b/>
          <w:sz w:val="24"/>
          <w:szCs w:val="24"/>
          <w:highlight w:val="yellow"/>
        </w:rPr>
      </w:pPr>
      <w:r>
        <w:rPr>
          <w:rFonts w:ascii="Arial Narrow" w:hAnsi="Arial Narrow" w:cs="Arial"/>
          <w:b/>
          <w:sz w:val="24"/>
          <w:szCs w:val="24"/>
          <w:highlight w:val="yellow"/>
        </w:rPr>
        <w:t>Realizó: Jairo Millán Grajales,</w:t>
      </w:r>
      <w:r>
        <w:rPr>
          <w:rFonts w:ascii="Arial Narrow" w:hAnsi="Arial Narrow" w:cs="Arial"/>
          <w:b/>
          <w:sz w:val="24"/>
          <w:szCs w:val="24"/>
          <w:highlight w:val="yellow"/>
        </w:rPr>
        <w:t xml:space="preserve"> Profesional I, DCI, EMCALI EICE ESP.</w:t>
      </w:r>
    </w:p>
    <w:p w:rsidR="007A4E6F" w:rsidRDefault="00CE5478">
      <w:pPr>
        <w:spacing w:after="0" w:line="240" w:lineRule="auto"/>
        <w:jc w:val="both"/>
        <w:rPr>
          <w:rFonts w:ascii="Arial Narrow" w:hAnsi="Arial Narrow" w:cs="Arial"/>
          <w:b/>
          <w:sz w:val="24"/>
          <w:szCs w:val="24"/>
        </w:rPr>
      </w:pPr>
      <w:r>
        <w:rPr>
          <w:rFonts w:ascii="Arial Narrow" w:hAnsi="Arial Narrow" w:cs="Arial"/>
          <w:b/>
          <w:sz w:val="24"/>
          <w:szCs w:val="24"/>
          <w:highlight w:val="yellow"/>
        </w:rPr>
        <w:t>Revisó y aprobó: Omar Romo Aza, Director de Control Interno, EMCALI EICE ESP.</w:t>
      </w:r>
    </w:p>
    <w:p w:rsidR="007A4E6F" w:rsidRDefault="00CE5478">
      <w:pPr>
        <w:spacing w:after="0" w:line="240" w:lineRule="auto"/>
        <w:jc w:val="both"/>
        <w:rPr>
          <w:rFonts w:ascii="Arial Narrow" w:hAnsi="Arial Narrow" w:cs="Arial"/>
          <w:b/>
          <w:sz w:val="24"/>
          <w:szCs w:val="24"/>
        </w:rPr>
      </w:pPr>
      <w:r>
        <w:rPr>
          <w:rFonts w:ascii="Arial Narrow" w:hAnsi="Arial Narrow" w:cs="Arial"/>
          <w:b/>
          <w:sz w:val="24"/>
          <w:szCs w:val="24"/>
          <w:highlight w:val="yellow"/>
        </w:rPr>
        <w:t>Julio 25 2024.</w:t>
      </w:r>
    </w:p>
    <w:sectPr w:rsidR="007A4E6F">
      <w:footerReference w:type="default" r:id="rId9"/>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478" w:rsidRDefault="00CE5478">
      <w:pPr>
        <w:spacing w:line="240" w:lineRule="auto"/>
      </w:pPr>
      <w:r>
        <w:separator/>
      </w:r>
    </w:p>
  </w:endnote>
  <w:endnote w:type="continuationSeparator" w:id="0">
    <w:p w:rsidR="00CE5478" w:rsidRDefault="00CE5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440744"/>
      <w:docPartObj>
        <w:docPartGallery w:val="AutoText"/>
      </w:docPartObj>
    </w:sdtPr>
    <w:sdtEndPr/>
    <w:sdtContent>
      <w:p w:rsidR="007A4E6F" w:rsidRDefault="00CE5478">
        <w:pPr>
          <w:pStyle w:val="Piedepgina"/>
          <w:jc w:val="right"/>
        </w:pPr>
        <w:r>
          <w:fldChar w:fldCharType="begin"/>
        </w:r>
        <w:r>
          <w:instrText>PAGE   \* MERGEFORMAT</w:instrText>
        </w:r>
        <w:r>
          <w:fldChar w:fldCharType="separate"/>
        </w:r>
        <w:r w:rsidR="00266AFB" w:rsidRPr="00266AFB">
          <w:rPr>
            <w:noProof/>
            <w:lang w:val="es-ES"/>
          </w:rPr>
          <w:t>11</w:t>
        </w:r>
        <w:r>
          <w:fldChar w:fldCharType="end"/>
        </w:r>
      </w:p>
    </w:sdtContent>
  </w:sdt>
  <w:p w:rsidR="007A4E6F" w:rsidRDefault="007A4E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478" w:rsidRDefault="00CE5478">
      <w:pPr>
        <w:spacing w:after="0"/>
      </w:pPr>
      <w:r>
        <w:separator/>
      </w:r>
    </w:p>
  </w:footnote>
  <w:footnote w:type="continuationSeparator" w:id="0">
    <w:p w:rsidR="00CE5478" w:rsidRDefault="00CE547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3117F"/>
    <w:multiLevelType w:val="multilevel"/>
    <w:tmpl w:val="14D3117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5119DC"/>
    <w:multiLevelType w:val="multilevel"/>
    <w:tmpl w:val="615119DC"/>
    <w:lvl w:ilvl="0">
      <w:start w:val="1"/>
      <w:numFmt w:val="decimal"/>
      <w:lvlText w:val="%1-"/>
      <w:lvlJc w:val="left"/>
      <w:pPr>
        <w:ind w:left="720" w:hanging="360"/>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F1"/>
    <w:rsid w:val="00022F39"/>
    <w:rsid w:val="000763D4"/>
    <w:rsid w:val="0009144D"/>
    <w:rsid w:val="000C30DF"/>
    <w:rsid w:val="000E0347"/>
    <w:rsid w:val="00115D84"/>
    <w:rsid w:val="00162E70"/>
    <w:rsid w:val="00186326"/>
    <w:rsid w:val="001C58E5"/>
    <w:rsid w:val="001E63E0"/>
    <w:rsid w:val="001F6FC4"/>
    <w:rsid w:val="0022557C"/>
    <w:rsid w:val="00266AFB"/>
    <w:rsid w:val="00287B1E"/>
    <w:rsid w:val="002937DD"/>
    <w:rsid w:val="003038FA"/>
    <w:rsid w:val="003212FB"/>
    <w:rsid w:val="003334E3"/>
    <w:rsid w:val="0037555B"/>
    <w:rsid w:val="003760A2"/>
    <w:rsid w:val="003C3047"/>
    <w:rsid w:val="003F7712"/>
    <w:rsid w:val="00400B4B"/>
    <w:rsid w:val="00415041"/>
    <w:rsid w:val="00447985"/>
    <w:rsid w:val="00461DA8"/>
    <w:rsid w:val="00467FCB"/>
    <w:rsid w:val="004B5B87"/>
    <w:rsid w:val="004D054C"/>
    <w:rsid w:val="004E4266"/>
    <w:rsid w:val="004F2ED8"/>
    <w:rsid w:val="005065AB"/>
    <w:rsid w:val="00547525"/>
    <w:rsid w:val="00567C90"/>
    <w:rsid w:val="005765E8"/>
    <w:rsid w:val="005D6211"/>
    <w:rsid w:val="005F281B"/>
    <w:rsid w:val="00610C80"/>
    <w:rsid w:val="006177BE"/>
    <w:rsid w:val="00622339"/>
    <w:rsid w:val="00641BBC"/>
    <w:rsid w:val="00650927"/>
    <w:rsid w:val="006A6730"/>
    <w:rsid w:val="006D1DFF"/>
    <w:rsid w:val="006D4316"/>
    <w:rsid w:val="006F1BB9"/>
    <w:rsid w:val="006F47EC"/>
    <w:rsid w:val="0071145E"/>
    <w:rsid w:val="007506CC"/>
    <w:rsid w:val="00767010"/>
    <w:rsid w:val="00773815"/>
    <w:rsid w:val="007851FE"/>
    <w:rsid w:val="007A1E78"/>
    <w:rsid w:val="007A4E6F"/>
    <w:rsid w:val="008351FE"/>
    <w:rsid w:val="008631D2"/>
    <w:rsid w:val="008656E2"/>
    <w:rsid w:val="008D1249"/>
    <w:rsid w:val="008D3FBA"/>
    <w:rsid w:val="008F16B7"/>
    <w:rsid w:val="008F4D17"/>
    <w:rsid w:val="009022F1"/>
    <w:rsid w:val="00913A45"/>
    <w:rsid w:val="00945541"/>
    <w:rsid w:val="00996304"/>
    <w:rsid w:val="009A2C52"/>
    <w:rsid w:val="009C2416"/>
    <w:rsid w:val="00A07998"/>
    <w:rsid w:val="00A26734"/>
    <w:rsid w:val="00A70650"/>
    <w:rsid w:val="00AA6D97"/>
    <w:rsid w:val="00AE4899"/>
    <w:rsid w:val="00B22F75"/>
    <w:rsid w:val="00B655E8"/>
    <w:rsid w:val="00B6605F"/>
    <w:rsid w:val="00B7402C"/>
    <w:rsid w:val="00B80F3B"/>
    <w:rsid w:val="00B8501E"/>
    <w:rsid w:val="00B93587"/>
    <w:rsid w:val="00BA3686"/>
    <w:rsid w:val="00BC054E"/>
    <w:rsid w:val="00BE13E2"/>
    <w:rsid w:val="00C025F2"/>
    <w:rsid w:val="00C328D4"/>
    <w:rsid w:val="00C52F04"/>
    <w:rsid w:val="00C572B9"/>
    <w:rsid w:val="00C752C1"/>
    <w:rsid w:val="00C861A8"/>
    <w:rsid w:val="00CB6AF7"/>
    <w:rsid w:val="00CE5478"/>
    <w:rsid w:val="00D202E0"/>
    <w:rsid w:val="00D23E1F"/>
    <w:rsid w:val="00D54764"/>
    <w:rsid w:val="00D84819"/>
    <w:rsid w:val="00DC41A9"/>
    <w:rsid w:val="00DF5634"/>
    <w:rsid w:val="00E6097D"/>
    <w:rsid w:val="00E6103E"/>
    <w:rsid w:val="00EE211E"/>
    <w:rsid w:val="00F06514"/>
    <w:rsid w:val="00F37D6B"/>
    <w:rsid w:val="00FA04EE"/>
    <w:rsid w:val="00FA1881"/>
    <w:rsid w:val="00FF1456"/>
    <w:rsid w:val="67881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A1C6"/>
  <w15:docId w15:val="{58488E17-AFEF-4F65-87E9-6E20F608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styleId="Hipervnculo">
    <w:name w:val="Hyperlink"/>
    <w:basedOn w:val="Fuentedeprrafopredeter"/>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customStyle="1" w:styleId="ListParagraph1">
    <w:name w:val="List Paragraph1"/>
    <w:basedOn w:val="Normal"/>
    <w:qFormat/>
    <w:pPr>
      <w:spacing w:before="100" w:beforeAutospacing="1" w:after="100" w:afterAutospacing="1" w:line="240" w:lineRule="auto"/>
      <w:contextualSpacing/>
    </w:pPr>
    <w:rPr>
      <w:rFonts w:ascii="Calibri" w:eastAsia="Times New Roman"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1CF75-446C-47FC-B23A-77466576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11</Pages>
  <Words>5364</Words>
  <Characters>30580</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2024-07-25T22:57:00Z</dcterms:created>
  <dcterms:modified xsi:type="dcterms:W3CDTF">2024-07-26T12:23:00Z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2C209E18592F49BA9C686D8211372B76_12</vt:lpwstr>
  </property>
</Properties>
</file>